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before="32" w:after="32" w:line="384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32"/>
          <w:szCs w:val="32"/>
        </w:rPr>
      </w:pPr>
      <w:r>
        <w:rPr>
          <w:rFonts w:eastAsia="Times New Roman"/>
          <w:b/>
          <w:bCs/>
          <w:color w:val="000000"/>
          <w:sz w:val="32"/>
          <w:szCs w:val="32"/>
        </w:rPr>
        <w:t> Положение</w:t>
      </w:r>
    </w:p>
    <w:p>
      <w:pPr>
        <w:spacing w:before="32" w:after="32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32"/>
          <w:szCs w:val="32"/>
        </w:rPr>
      </w:pPr>
      <w:r>
        <w:rPr>
          <w:rFonts w:eastAsia="Times New Roman"/>
          <w:b/>
          <w:bCs/>
          <w:color w:val="000000"/>
          <w:sz w:val="32"/>
          <w:szCs w:val="32"/>
        </w:rPr>
        <w:t>о проведении фестиваля -конкурса «Таежная, озерная, степная»</w:t>
      </w:r>
    </w:p>
    <w:p>
      <w:pPr>
        <w:spacing w:before="32" w:after="32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32"/>
          <w:szCs w:val="32"/>
        </w:rPr>
      </w:pPr>
      <w:r>
        <w:rPr>
          <w:rFonts w:eastAsia="Times New Roman"/>
          <w:b/>
          <w:bCs/>
          <w:color w:val="000000"/>
          <w:sz w:val="32"/>
          <w:szCs w:val="32"/>
        </w:rPr>
        <w:t>       в рамках празднования  национального праздника</w:t>
      </w:r>
    </w:p>
    <w:p>
      <w:pPr>
        <w:spacing w:before="32" w:after="32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32"/>
          <w:szCs w:val="32"/>
        </w:rPr>
      </w:pPr>
      <w:r>
        <w:rPr>
          <w:rFonts w:eastAsia="Times New Roman"/>
          <w:b/>
          <w:bCs/>
          <w:color w:val="000000"/>
          <w:sz w:val="32"/>
          <w:szCs w:val="32"/>
        </w:rPr>
        <w:t>«Сагаалган - 2025»     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</w:r>
    </w:p>
    <w:p>
      <w:pPr>
        <w:spacing w:before="32" w:after="32" w:line="384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  <w:t xml:space="preserve">  </w:t>
      </w:r>
      <w:r>
        <w:rPr>
          <w:rFonts w:eastAsia="Times New Roman"/>
          <w:b/>
          <w:bCs/>
          <w:color w:val="000000"/>
          <w:sz w:val="28"/>
          <w:szCs w:val="28"/>
        </w:rPr>
        <w:t>Цели и задачи:</w:t>
      </w:r>
      <w:r>
        <w:rPr>
          <w:rFonts w:ascii="Arial" w:hAnsi="Arial"/>
          <w:color w:val="000000"/>
          <w:sz w:val="26"/>
        </w:rPr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  <w:t>Содействие процессу возрождения, сохранения традиционной бурятской культуры; воспитание подрастающего поколения на основе многовековых традиций народной бурятской культуры, любви к родному краю; показ глубины и мудрости народных традиций, обрядов и обычаев; укрепление семейных традиций.</w:t>
      </w:r>
    </w:p>
    <w:p>
      <w:pPr>
        <w:spacing w:before="32" w:after="32" w:line="384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  <w:t>    </w:t>
      </w:r>
      <w:r>
        <w:rPr>
          <w:rFonts w:eastAsia="Times New Roman"/>
          <w:b/>
          <w:bCs/>
          <w:color w:val="000000"/>
          <w:sz w:val="28"/>
          <w:szCs w:val="28"/>
        </w:rPr>
        <w:t>  Условие и порядок проведения конкурса :</w:t>
      </w:r>
      <w:r>
        <w:rPr>
          <w:rFonts w:ascii="Arial" w:hAnsi="Arial"/>
          <w:color w:val="000000"/>
          <w:sz w:val="26"/>
        </w:rPr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  <w:t xml:space="preserve">Фестиваль-конкурс  «Таежная, озерная, степная»    проводится в марте 2025 года.    Участие в фестивале принимают воспитанники, родители и педагоги всех групп в составе не более 5 участников. 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  <w:t>Фестиваль-конкурс  проводится согласно положению (приложение №1)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  <w:t xml:space="preserve"> Каждая группа-участница фестиваля защищает свой презентационный материал (творческий номер, художественное слово, защита стола) не более 7-10 минут.</w:t>
      </w:r>
    </w:p>
    <w:p>
      <w:pPr>
        <w:spacing w:before="32" w:after="32" w:line="384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  <w:t>    </w:t>
      </w:r>
      <w:r>
        <w:rPr>
          <w:rFonts w:eastAsia="Times New Roman"/>
          <w:b/>
          <w:bCs/>
          <w:color w:val="000000"/>
          <w:sz w:val="28"/>
          <w:szCs w:val="28"/>
        </w:rPr>
        <w:t>   Награждение участников Фестиваля</w:t>
      </w:r>
      <w:r>
        <w:rPr>
          <w:rFonts w:ascii="Arial" w:hAnsi="Arial"/>
          <w:color w:val="000000"/>
          <w:sz w:val="26"/>
        </w:rPr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  <w:t>  Награждение участников фестиваля состоится  по окончанию фестиваля. Победители в каждой номинации получают Диплом победителя, все участники дипломы участника фестиваля. Жюри вправе присуждать специальные призы и дипломы.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  <w:t xml:space="preserve">                                                    Сроки подачи заявок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  <w:t>Анкеты - Заявки (Приложение №2 ) на участие в фестивале-конкурсе подаются в срок до </w:t>
      </w:r>
      <w:hyperlink r:id="rId8" w:history="1">
        <w:r>
          <w:rPr>
            <w:rStyle w:val="char1"/>
            <w:rFonts w:ascii="Arial" w:hAnsi="Arial"/>
            <w:sz w:val="26"/>
          </w:rPr>
          <w:t>----------</w:t>
        </w:r>
      </w:hyperlink>
      <w:r>
        <w:rPr>
          <w:rFonts w:ascii="Arial" w:hAnsi="Arial"/>
          <w:color w:val="000000"/>
          <w:sz w:val="26"/>
        </w:rPr>
        <w:t xml:space="preserve">  2025 г.  </w:t>
      </w:r>
      <w:r>
        <w:rPr>
          <w:rFonts w:ascii="Arial" w:hAnsi="Arial"/>
          <w:color w:val="000000"/>
          <w:sz w:val="26"/>
        </w:rPr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  <w:br w:type="textWrapping"/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  <w:t>Организаторы фестиваля-конкурса : музыкальный руководитель Гомбоева Анастасия Александровна, Еранская Евгения Владимировна.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</w:r>
    </w:p>
    <w:p>
      <w:pPr>
        <w:spacing w:before="32" w:after="32" w:line="384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  <w:t>    Приглашаем принять активное участие в фестивале! Желаем удачи!</w:t>
      </w:r>
    </w:p>
    <w:p>
      <w:pPr>
        <w:spacing w:before="32" w:after="32" w:line="384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  <w:t>  Сагааан hараар! Сагаалганаар!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Приложение №1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   </w:t>
      </w:r>
      <w:r>
        <w:rPr>
          <w:rFonts w:eastAsia="Times New Roman"/>
          <w:color w:val="000000"/>
          <w:sz w:val="28"/>
          <w:szCs w:val="28"/>
        </w:rPr>
        <w:t xml:space="preserve">   1) Каждая</w:t>
      </w: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>команда-участница представляет презентацию района, которую выбрала для защиты. Презентация включает в себя краткую информацию о достижениях, природных ресурсах, ландшафте, исторических событиях, выдающихся людях, выходцев района и т.д.  Можно использовать видеопрезентацию,  папки-передвижки, плакаты, макеты и т.д.  Продолжительность не более 3мин. Высший балл -10 (за несоблюдение регламента – снимается 2 балла)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  <w:t xml:space="preserve">     </w:t>
      </w:r>
      <w:r>
        <w:rPr>
          <w:rFonts w:eastAsia="Times New Roman"/>
          <w:color w:val="000000"/>
          <w:sz w:val="28"/>
          <w:szCs w:val="28"/>
        </w:rPr>
        <w:t>2)Оригинальное поздравление с праздником Белого месяца с использованием различных жанров народного творчества. Участники могут использовать традиционный костюм  бурят того района, который они презентуют, традиционные поэтические жанры устного фольклора, современный художественный материал. Продолжительность выступления – 4 минуты. Оценивается костюм,  раскрытие темы.</w:t>
      </w:r>
      <w:r>
        <w:rPr>
          <w:rFonts w:ascii="Arial" w:hAnsi="Arial"/>
          <w:color w:val="000000"/>
          <w:sz w:val="26"/>
        </w:rPr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Высший балл -10 (за несоблюдение регламента – снимается 2 балла)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ascii="Arial" w:hAnsi="Arial"/>
          <w:color w:val="000000"/>
          <w:sz w:val="26"/>
        </w:rPr>
        <w:t xml:space="preserve">   </w:t>
      </w:r>
      <w:r>
        <w:rPr>
          <w:rFonts w:eastAsia="Times New Roman"/>
          <w:color w:val="000000"/>
          <w:sz w:val="28"/>
          <w:szCs w:val="28"/>
        </w:rPr>
        <w:t xml:space="preserve">  3) » Аматалае!» - «Защита стола». Участники должны презентовать традиционные блюда в дни празднования Сагаалгаана. Регламент 3 минуты. Высший балл -10 (за несоблюдение регламента – снимается 2 балла)</w:t>
      </w:r>
      <w:r>
        <w:rPr>
          <w:rFonts w:eastAsia="Times New Roman"/>
          <w:color w:val="000000"/>
          <w:sz w:val="28"/>
          <w:szCs w:val="28"/>
        </w:rPr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  <w:t> 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  <w:br w:type="textWrapping"/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  <w:br w:type="textWrapping"/>
      </w:r>
    </w:p>
    <w:p>
      <w:pPr>
        <w:spacing w:before="32" w:after="32" w:line="384" w:lineRule="auto"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  <w:br w:type="textWrapping"/>
        <w:t>Приложенеие №2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</w:r>
    </w:p>
    <w:p>
      <w:pPr>
        <w:spacing w:before="32" w:after="32" w:line="384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Заявка на участие</w:t>
      </w:r>
    </w:p>
    <w:tbl>
      <w:tblPr>
        <w:tblStyle w:val="TableGrid"/>
        <w:name w:val="Таблица1"/>
        <w:tabOrder w:val="0"/>
        <w:jc w:val="center"/>
        <w:tblInd w:w="0" w:type="dxa"/>
        <w:tblW w:w="8975" w:type="dxa"/>
        <w:pPr>
          <w:spacing w:before="32" w:after="32" w:line="384" w:lineRule="auto"/>
          <w:jc w:val="center"/>
        </w:pPr>
        <w:tblLook w:val="04A0" w:firstRow="1" w:lastRow="0" w:firstColumn="1" w:lastColumn="0" w:noHBand="0" w:noVBand="1"/>
      </w:tblPr>
      <w:tblGrid>
        <w:gridCol w:w="723"/>
        <w:gridCol w:w="1475"/>
        <w:gridCol w:w="1417"/>
        <w:gridCol w:w="1205"/>
        <w:gridCol w:w="1205"/>
        <w:gridCol w:w="1205"/>
        <w:gridCol w:w="1745"/>
      </w:tblGrid>
      <w:tr>
        <w:trPr>
          <w:tblHeader w:val="0"/>
          <w:cantSplit w:val="0"/>
          <w:trHeight w:val="0" w:hRule="auto"/>
        </w:trPr>
        <w:tc>
          <w:tcPr>
            <w:tcW w:w="723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группы</w:t>
            </w:r>
          </w:p>
        </w:tc>
        <w:tc>
          <w:tcPr>
            <w:tcW w:w="147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Название презентации</w:t>
            </w:r>
          </w:p>
        </w:tc>
        <w:tc>
          <w:tcPr>
            <w:tcW w:w="1417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Защита</w:t>
            </w:r>
          </w:p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творческий номер</w:t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Аматалае</w:t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Ф.И. участников</w:t>
            </w:r>
          </w:p>
        </w:tc>
        <w:tc>
          <w:tcPr>
            <w:tcW w:w="174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Пожелания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23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7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17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745" w:type="dxa"/>
            <w:shd w:val="none"/>
            <w:tmTcPr id="1740375957" protected="0"/>
          </w:tcPr>
          <w:p>
            <w:pPr/>
            <w:r/>
          </w:p>
        </w:tc>
      </w:tr>
      <w:tr>
        <w:trPr>
          <w:tblHeader w:val="0"/>
          <w:cantSplit w:val="0"/>
          <w:trHeight w:val="258" w:hRule="atLeast"/>
        </w:trPr>
        <w:tc>
          <w:tcPr>
            <w:tcW w:w="723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7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17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745" w:type="dxa"/>
            <w:shd w:val="none"/>
            <w:tmTcPr id="1740375957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723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7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17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745" w:type="dxa"/>
            <w:shd w:val="none"/>
            <w:tmTcPr id="1740375957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723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7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17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745" w:type="dxa"/>
            <w:shd w:val="none"/>
            <w:tmTcPr id="1740375957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723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7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17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745" w:type="dxa"/>
            <w:shd w:val="none"/>
            <w:tmTcPr id="1740375957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723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7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17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745" w:type="dxa"/>
            <w:shd w:val="none"/>
            <w:tmTcPr id="1740375957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723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7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17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745" w:type="dxa"/>
            <w:shd w:val="none"/>
            <w:tmTcPr id="1740375957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723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7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17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745" w:type="dxa"/>
            <w:shd w:val="none"/>
            <w:tmTcPr id="1740375957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723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7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17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745" w:type="dxa"/>
            <w:shd w:val="none"/>
            <w:tmTcPr id="1740375957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723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7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17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745" w:type="dxa"/>
            <w:shd w:val="none"/>
            <w:tmTcPr id="1740375957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723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7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417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205" w:type="dxa"/>
            <w:shd w:val="none"/>
            <w:tmTcPr id="1740375957" protected="0"/>
          </w:tcPr>
          <w:p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1745" w:type="dxa"/>
            <w:shd w:val="none"/>
            <w:tmTcPr id="1740375957" protected="0"/>
          </w:tcPr>
          <w:p>
            <w:pPr/>
            <w:r/>
          </w:p>
        </w:tc>
      </w:tr>
    </w:tbl>
    <w:p>
      <w:pPr>
        <w:spacing w:before="32" w:after="32" w:line="384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  <w:br w:type="textWrapping"/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  <w:br w:type="textWrapping"/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br w:type="textWrapping"/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2">
    <w:multiLevelType w:val="singleLevel"/>
    <w:name w:val="Bullet 2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3">
    <w:multiLevelType w:val="singleLevel"/>
    <w:name w:val="Bullet 3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4">
    <w:multiLevelType w:val="singleLevel"/>
    <w:name w:val="Bullet 4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5">
    <w:multiLevelType w:val="singleLevel"/>
    <w:name w:val="Bullet 5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6">
    <w:multiLevelType w:val="singleLevel"/>
    <w:name w:val="Bullet 6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0"/>
    <w:tmLastPosCaret>
      <w:tmLastPosPgfIdx w:val="28"/>
      <w:tmLastPosIdx w:val="1"/>
    </w:tmLastPosCaret>
    <w:tmLastPosAnchor>
      <w:tmLastPosPgfIdx w:val="0"/>
      <w:tmLastPosIdx w:val="0"/>
    </w:tmLastPosAnchor>
    <w:tmLastPosTblRect w:left="0" w:top="0" w:right="0" w:bottom="0"/>
  </w:tmLastPos>
  <w:tmAppRevision w:date="1740375957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етка таблицы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етка таблицы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yperlink" Target="http://www.pandia.ru/text/category/1_fevraly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5</cp:revision>
  <dcterms:created xsi:type="dcterms:W3CDTF">2024-01-16T06:58:51Z</dcterms:created>
  <dcterms:modified xsi:type="dcterms:W3CDTF">2025-02-24T05:45:57Z</dcterms:modified>
</cp:coreProperties>
</file>