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  <w:t>Муниципальное автономное дошкольное образовательное учреждение</w:t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  <w:t>«Детский сад №3 «Колобок комбинированного вида г. Улан-Удэ</w:t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  <w:t>Годовой отчет работы</w:t>
      </w:r>
      <w:r>
        <w:rPr>
          <w:rFonts w:ascii="Calibri" w:hAnsi="Calibri"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  <w:t>музыкального руководителя</w:t>
      </w:r>
      <w:r>
        <w:rPr>
          <w:rFonts w:ascii="Calibri" w:hAnsi="Calibri"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  <w:t>Гомбоевой Анастасии Александровны</w:t>
      </w:r>
    </w:p>
    <w:p>
      <w:pPr>
        <w:pStyle w:val="para5"/>
        <w:spacing/>
        <w:jc w:val="center"/>
      </w:pPr>
      <w:r>
        <w:rPr>
          <w:rFonts w:ascii="Times New Roman" w:hAnsi="Times New Roman" w:cs="Times New Roman"/>
          <w:b/>
          <w:sz w:val="32"/>
          <w:szCs w:val="32"/>
        </w:rPr>
        <w:t xml:space="preserve">Образовательная область </w:t>
      </w:r>
      <w:r/>
    </w:p>
    <w:p>
      <w:pPr>
        <w:pStyle w:val="para5"/>
        <w:spacing/>
        <w:jc w:val="center"/>
      </w:pPr>
      <w:r>
        <w:rPr>
          <w:rFonts w:ascii="Times New Roman" w:hAnsi="Times New Roman" w:cs="Times New Roman"/>
          <w:b/>
          <w:sz w:val="32"/>
          <w:szCs w:val="32"/>
        </w:rPr>
        <w:t xml:space="preserve">«Художественно-эстетическое развитие» </w:t>
      </w:r>
      <w:r/>
    </w:p>
    <w:p>
      <w:pPr>
        <w:pStyle w:val="para5"/>
        <w: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раздел «Музыка»</w:t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  <w:t> </w:t>
      </w:r>
      <w:r>
        <w:rPr>
          <w:rStyle w:val="char1"/>
          <w:b/>
          <w:bCs/>
          <w:color w:val="000000"/>
          <w:sz w:val="32"/>
          <w:szCs w:val="32"/>
        </w:rPr>
        <w:t>на  2024 – 2025 учебный год</w:t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4"/>
        <w:spacing w:after="0" w:beforeAutospacing="0" w:afterAutospacing="0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b/>
          <w:bCs/>
          <w:color w:val="000000"/>
          <w:sz w:val="32"/>
          <w:szCs w:val="32"/>
        </w:rPr>
      </w:pPr>
      <w:r>
        <w:rPr>
          <w:rStyle w:val="char1"/>
          <w:b/>
          <w:bCs/>
          <w:color w:val="000000"/>
          <w:sz w:val="32"/>
          <w:szCs w:val="32"/>
        </w:rPr>
      </w:r>
    </w:p>
    <w:p>
      <w:pPr>
        <w:pStyle w:val="para5"/>
      </w:pPr>
      <w:r>
        <w:rPr>
          <w:rFonts w:ascii="Times New Roman" w:hAnsi="Times New Roman" w:cs="Times New Roman"/>
          <w:sz w:val="24"/>
          <w:szCs w:val="24"/>
        </w:rPr>
        <w:t xml:space="preserve">     В дошкольной педагогике музыка рассматривается как ничем не заменимое средство развития у детей эмоциональной отзывчивости на все доброе и прекрасное, с которыми они встречаются в жизни.</w:t>
      </w:r>
      <w:r/>
    </w:p>
    <w:p>
      <w:pPr>
        <w:pStyle w:val="para5"/>
        <w:ind w:firstLine="360"/>
      </w:pPr>
      <w:r>
        <w:rPr>
          <w:rFonts w:ascii="Times New Roman" w:hAnsi="Times New Roman" w:cs="Times New Roman"/>
          <w:sz w:val="24"/>
          <w:szCs w:val="32"/>
        </w:rPr>
        <w:t>Рабочая программа разработана с учетом  основных принципов, требований к организации и содержанию различных видов музыкальной деятельности в ДОУ, возрастных особенностях детей дошкольного возраста от 1,5 до 7 лет.</w:t>
      </w:r>
      <w:r/>
    </w:p>
    <w:p>
      <w:pPr>
        <w:pStyle w:val="para5"/>
        <w:ind w:firstLine="360"/>
      </w:pPr>
      <w:r>
        <w:rPr>
          <w:rFonts w:ascii="Times New Roman" w:hAnsi="Times New Roman" w:cs="Times New Roman"/>
          <w:sz w:val="24"/>
          <w:szCs w:val="32"/>
        </w:rPr>
        <w:t xml:space="preserve">Данная программа составлена  на основе основной образовательной программы </w:t>
      </w:r>
      <w:r>
        <w:rPr>
          <w:rFonts w:ascii="Times New Roman" w:hAnsi="Times New Roman" w:cs="Times New Roman"/>
        </w:rPr>
        <w:t xml:space="preserve">в соответствии с федеральным государственным образовательным стандартом дошкольного образования (далее - ФГОС), особенностями образовательной организации, региона, образовательных потребностей и запросов родителей воспитанников. </w:t>
      </w:r>
      <w:r>
        <w:rPr>
          <w:rFonts w:ascii="Times New Roman" w:hAnsi="Times New Roman" w:cs="Times New Roman"/>
          <w:sz w:val="24"/>
          <w:szCs w:val="32"/>
        </w:rPr>
        <w:t xml:space="preserve"> Учитывая результаты мониторинга, осуществлѐн подбор парциальных программ, определены приоритетные направления работы МАДОУ в соответствии с пятью направлениями развития личности ребѐнка (ФГОС ДО) :</w:t>
      </w:r>
      <w:r/>
    </w:p>
    <w:p>
      <w:pPr>
        <w:pStyle w:val="para5"/>
        <w:ind w:firstLine="360"/>
      </w:pPr>
      <w:r>
        <w:rPr>
          <w:rFonts w:ascii="Times New Roman" w:hAnsi="Times New Roman" w:eastAsia="Times New Roman" w:cs="Times New Roman"/>
          <w:sz w:val="24"/>
          <w:szCs w:val="32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парциальные программы:</w:t>
      </w:r>
      <w:r/>
    </w:p>
    <w:p>
      <w:pPr>
        <w:pStyle w:val="para5"/>
        <w:ind w:firstLine="36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«Ладушки» / И.Новоскольцевой, И.Каплуновой; </w:t>
      </w:r>
      <w:r/>
    </w:p>
    <w:p>
      <w:pPr>
        <w:pStyle w:val="para5"/>
        <w:ind w:firstLine="360"/>
      </w:pPr>
      <w:r>
        <w:rPr>
          <w:rFonts w:ascii="Times New Roman" w:hAnsi="Times New Roman" w:cs="Times New Roman"/>
          <w:sz w:val="24"/>
          <w:szCs w:val="24"/>
        </w:rPr>
        <w:t>- «Ритмическая мозаика» /А.И.Бурениной;</w:t>
      </w:r>
      <w:r/>
    </w:p>
    <w:p>
      <w:pPr>
        <w:pStyle w:val="para5"/>
      </w:pPr>
      <w:r>
        <w:rPr>
          <w:rFonts w:ascii="Times New Roman" w:hAnsi="Times New Roman" w:cs="Times New Roman"/>
          <w:sz w:val="24"/>
          <w:szCs w:val="24"/>
        </w:rPr>
        <w:t>- «Учусь творить. Элементарное музицирование: музыка, речь, движение»/ Т.Э.Тютюнникова.</w:t>
      </w:r>
      <w:r/>
    </w:p>
    <w:p>
      <w:pPr>
        <w:pStyle w:val="para5"/>
      </w:pPr>
      <w:r>
        <w:rPr>
          <w:rFonts w:ascii="Times New Roman" w:hAnsi="Times New Roman" w:cs="Times New Roman"/>
          <w:sz w:val="24"/>
          <w:szCs w:val="24"/>
        </w:rPr>
        <w:t xml:space="preserve">- Парциальная программа «Мой родной край – Бурятия», разработанная научно-методическим советом МАДОУ № 3 </w:t>
      </w:r>
      <w:r/>
    </w:p>
    <w:p>
      <w:pPr>
        <w:pStyle w:val="para5"/>
      </w:pPr>
      <w:r>
        <w:rPr>
          <w:rFonts w:ascii="Times New Roman" w:hAnsi="Times New Roman" w:cs="Times New Roman"/>
          <w:sz w:val="24"/>
          <w:szCs w:val="32"/>
        </w:rPr>
        <w:t>Основная образовательная программа МАДОУ «Детский сад №3 «Колобок» разработана в соответствии с основными нормативно-правовыми документами:</w:t>
      </w:r>
      <w:r/>
    </w:p>
    <w:p>
      <w:pPr>
        <w:pStyle w:val="para5"/>
        <w:numPr>
          <w:ilvl w:val="0"/>
          <w:numId w:val="1"/>
        </w:numPr>
        <w:ind w:left="0" w:firstLine="0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32"/>
        </w:rPr>
        <w:t xml:space="preserve">.Федеральный закон от 29 декабря 2012 г. № 273-ФЗ (ред. от 31.12.2014, с изм. от 02.05.2015) «Об образовании в Российской Федерации» </w:t>
      </w:r>
      <w:r/>
    </w:p>
    <w:p>
      <w:pPr>
        <w:pStyle w:val="para5"/>
        <w:numPr>
          <w:ilvl w:val="0"/>
          <w:numId w:val="1"/>
        </w:numPr>
        <w:ind w:left="0" w:firstLine="0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32"/>
        </w:rPr>
        <w:t>Федеральный государственный образовательный стандарт дошкольного образования (Утвержден приказом Министерства образования и науки Российской Федерации от 17 октября 2013 г. N 1155);</w:t>
      </w:r>
      <w:r>
        <w:rPr>
          <w:rFonts w:ascii="Times New Roman" w:hAnsi="Times New Roman" w:cs="Times New Roman"/>
          <w:bCs/>
          <w:sz w:val="24"/>
          <w:szCs w:val="32"/>
        </w:rPr>
        <w:t xml:space="preserve">                                                                                        </w:t>
      </w:r>
      <w:r/>
    </w:p>
    <w:p>
      <w:pPr>
        <w:pStyle w:val="para5"/>
        <w:numPr>
          <w:ilvl w:val="0"/>
          <w:numId w:val="1"/>
        </w:numPr>
        <w:ind w:left="0" w:firstLine="0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32"/>
        </w:rPr>
        <w:t xml:space="preserve">СанПиН1.2.3685-21«Гигиенические нормативы и требования к обеспечению безопасности и (или) безвредности для человека факторов среды обитания» (утв. Постановлением Главного Государственного санитарного врача РФ от 28.01.2021 № 2) </w:t>
      </w:r>
      <w:r/>
    </w:p>
    <w:p>
      <w:pPr>
        <w:pStyle w:val="para5"/>
        <w:numPr>
          <w:ilvl w:val="0"/>
          <w:numId w:val="1"/>
        </w:numPr>
        <w:ind w:left="0" w:firstLine="0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</w:rPr>
        <w:t>Программа направлена на реализацию образовательной области «Художественно-эстетическое развитие» раздела «Музыкальная деятельность» ООП ДО посредством создания условий развития ребёнка, открывающих возможности для его позитивной социализации, его личностного развития, развития инициативы и творческих способностей на основе сотрудничества со взрослыми и сверстниками и соответствующим возрасту видам деятельности и обеспечивают социализацию и индивидуализацию детей</w:t>
      </w:r>
      <w:r>
        <w:rPr>
          <w:sz w:val="20"/>
        </w:rPr>
        <w:t>.</w:t>
      </w:r>
    </w:p>
    <w:p>
      <w:pPr>
        <w:pStyle w:val="para5"/>
        <w:spacing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Целью музыкальной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в ДОО является развитие музыкальности детей, т.е. способности эмоционально воспринимать музыку, что немаловажно для становления эстетического отношения к окружающему миру. Создание благоприятных условий для полноценного развития способностей ребёнка, формирование основ базовой музыкальной культуры. Развитие психических и физических качеств в соответствии с возрастными и индивидуальными особенностями, подготовка к жизни в современном обществе, к обучению в школе. </w:t>
      </w:r>
      <w:r/>
    </w:p>
    <w:p>
      <w:pPr>
        <w:pStyle w:val="para5"/>
        <w:ind w:firstLine="708"/>
        <w: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pStyle w:val="para5"/>
        <w:spacing/>
        <w:jc w:val="both"/>
      </w:pPr>
      <w:r>
        <w:rPr>
          <w:rFonts w:ascii="Times New Roman" w:hAnsi="Times New Roman" w:cs="Times New Roman"/>
          <w:b/>
          <w:sz w:val="24"/>
          <w:szCs w:val="24"/>
        </w:rPr>
        <w:t>Достижение поставленной цели предусматривает решение следующих задач:</w:t>
      </w:r>
      <w:r/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24"/>
        </w:rPr>
        <w:t>Охрана и укрепление физического и психического здоровья детей, в том числе их эмоционального благополучия;</w:t>
      </w:r>
      <w:r/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24"/>
        </w:rPr>
        <w:t>Обеспечение равных возможностей для полноценного развития каждого ребенка в период дошкольного детства независимо от места жительства, пола, нации, языка, социального статуса, психофизиологических и других особенностей (в том числе ограниченных возможностей здоровья);</w:t>
      </w:r>
      <w:r/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24"/>
        </w:rPr>
        <w:t>Обеспечение преемственности целей, задач и содержания образования, реализуемых в рамках образовательных программ различных уровней (далее - преемственность основных образовательных программ дошкольного и начального общего образования);</w:t>
      </w:r>
      <w:r/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24"/>
        </w:rPr>
        <w:t>Создание благоприятных условий развития детей в соответствии с их возрастными и индивидуальными особенностями и склонностями, развития способностей и творческого потенциала каждого ребенка как субъекта отношений с самим собой, другими детьми, взрослыми и миром;</w:t>
      </w:r>
      <w:r/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24"/>
        </w:rPr>
        <w:t>Объединение обучения и воспитания в целостный образовательный процесс на основе духовно-нравственных и социокультурных ценностей и принятых в обществе правил и норм поведения в интересах человека, семьи, общества;</w:t>
      </w:r>
      <w:r/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24"/>
        </w:rPr>
        <w:t>Формирование общей культуры личности детей, в том числе ценностей здорового образа жизни, развития их социальных, нравственных, эстетических, интеллектуальных, физических качеств, инициативности, самостоятельности и ответственности ребенка, формирования предпосылок учебной деятельности;</w:t>
      </w:r>
      <w:r/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24"/>
        </w:rPr>
        <w:t>Обеспечение вариативности и разнообразия содержания Программ и организационных форм дошкольного образования, возможности формирования Программ различной направленности с учетом образовательных потребностей, способностей и состояния здоровья детей.</w:t>
      </w:r>
      <w:r/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24"/>
        </w:rPr>
        <w:t>Формирование социокультурной среды, соответствующей возрастным, индивидуальным, психологическим и физиологическим особенностям детей;</w:t>
      </w:r>
      <w:r/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  <w:szCs w:val="24"/>
        </w:rPr>
        <w:t>Обеспечение психолого-педагогической поддержки семьи и повышения компетентности родителей (законных представителей) в вопросах развития и образования, охраны и укрепления здоровья детей.</w:t>
      </w:r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>
        <w:rPr>
          <w:rFonts w:ascii="Times New Roman" w:hAnsi="Times New Roman" w:cs="Times New Roman"/>
          <w:b/>
          <w:sz w:val="24"/>
        </w:rPr>
        <w:t>ОРГАНИЗАЦИЯ ОБРАЗОВАТЕЛЬНОГО ПРОЦЕССА ПО ОСВОЕНИЮ ДЕТЬМИ ОБРАЗОВАТЕЛЬНОЙ ОБЛАСТИ «МУЗЫКА»</w:t>
      </w:r>
      <w:r/>
    </w:p>
    <w:p>
      <w:pPr>
        <w:pStyle w:val="para5"/>
      </w:pPr>
      <w:r>
        <w:rPr>
          <w:rFonts w:ascii="Times New Roman" w:hAnsi="Times New Roman" w:cs="Times New Roman"/>
          <w:sz w:val="24"/>
        </w:rPr>
        <w:t>Образовательный процесс по реализации образовательной области «Музыка» строится на основе рабочей программы, которая разработана  с учетом следующих положений:</w:t>
      </w:r>
      <w:r/>
    </w:p>
    <w:p>
      <w:pPr>
        <w:pStyle w:val="para5"/>
      </w:pPr>
      <w:r>
        <w:rPr>
          <w:rFonts w:ascii="Times New Roman" w:hAnsi="Times New Roman" w:cs="Times New Roman"/>
          <w:sz w:val="24"/>
        </w:rPr>
        <w:t>-весь материал программы, ее репертуар и организация детской деятельности отвечают современным требованиям педагогической науки и практики;</w:t>
      </w:r>
      <w:r/>
    </w:p>
    <w:p>
      <w:pPr>
        <w:pStyle w:val="para5"/>
      </w:pPr>
      <w:r>
        <w:rPr>
          <w:rFonts w:ascii="Times New Roman" w:hAnsi="Times New Roman" w:cs="Times New Roman"/>
          <w:sz w:val="24"/>
        </w:rPr>
        <w:t>-постепенно и последовательно проходит процесс формирования музыкальных интересов ребенка, его способностей;</w:t>
      </w:r>
      <w:r/>
    </w:p>
    <w:p>
      <w:pPr>
        <w:pStyle w:val="para5"/>
      </w:pPr>
      <w:r>
        <w:rPr>
          <w:rFonts w:ascii="Times New Roman" w:hAnsi="Times New Roman" w:cs="Times New Roman"/>
          <w:sz w:val="24"/>
        </w:rPr>
        <w:t>-осуществляется преемственность музыкального развития ребенка на разных возрастных этапах с целью планомерной подготовки его к школе.</w:t>
      </w:r>
      <w:r/>
    </w:p>
    <w:p>
      <w:pPr>
        <w:pStyle w:val="para5"/>
      </w:pPr>
      <w:r>
        <w:rPr>
          <w:rFonts w:ascii="Times New Roman" w:hAnsi="Times New Roman" w:cs="Times New Roman"/>
          <w:sz w:val="24"/>
        </w:rPr>
        <w:t xml:space="preserve">Музыкальный репертуар соответствует художественно-педагогическим требованиям: </w:t>
      </w:r>
      <w:r/>
    </w:p>
    <w:p>
      <w:pPr>
        <w:pStyle w:val="para5"/>
      </w:pPr>
      <w:r>
        <w:rPr>
          <w:rFonts w:ascii="Times New Roman" w:hAnsi="Times New Roman" w:cs="Times New Roman"/>
          <w:sz w:val="24"/>
        </w:rPr>
        <w:t>-единства содержания и музыкальной формы;</w:t>
      </w:r>
      <w:r/>
    </w:p>
    <w:p>
      <w:pPr>
        <w:pStyle w:val="para5"/>
      </w:pPr>
      <w:r>
        <w:rPr>
          <w:rFonts w:ascii="Times New Roman" w:hAnsi="Times New Roman" w:cs="Times New Roman"/>
          <w:sz w:val="24"/>
        </w:rPr>
        <w:t>-соответствия всем видам  детской музыкальной деятельности;</w:t>
      </w:r>
      <w:r/>
    </w:p>
    <w:p>
      <w:pPr>
        <w:pStyle w:val="para5"/>
      </w:pPr>
      <w:r>
        <w:rPr>
          <w:rFonts w:ascii="Times New Roman" w:hAnsi="Times New Roman" w:cs="Times New Roman"/>
          <w:sz w:val="24"/>
        </w:rPr>
        <w:t>-доступности восприятия и исполнения детьми.</w:t>
      </w:r>
      <w:r/>
    </w:p>
    <w:p>
      <w:pPr>
        <w:pStyle w:val="para5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Непосредственно образовательная деятельность (НОД) выступает как   основная форма организации воспитания, обучения, развития детей, в которой участвуют все дети того или иного возраста.  НОД проводится в соответствии с рабочей программой по всем видам музыкальной деятельности и включает в себя чередование следующих видов деятельности: музыкально-ритмические упражнения, восприятие музыки, игра  на ДМИ,  пение, пальчиковая гимнастика, пляски, игры.</w:t>
      </w:r>
    </w:p>
    <w:p>
      <w:pPr>
        <w:pStyle w:val="para5"/>
        <w:numPr>
          <w:ilvl w:val="0"/>
          <w:numId w:val="2"/>
        </w:numPr>
        <w:ind w:left="720" w:hanging="360"/>
      </w:pPr>
      <w:r>
        <w:rPr>
          <w:rFonts w:ascii="Times New Roman" w:hAnsi="Times New Roman" w:cs="Times New Roman"/>
          <w:b/>
          <w:sz w:val="24"/>
        </w:rPr>
        <w:t>Структура музыкального занятия:</w:t>
      </w:r>
      <w:r/>
    </w:p>
    <w:p>
      <w:pPr>
        <w:pStyle w:val="para5"/>
      </w:pPr>
      <w:r>
        <w:rPr>
          <w:rFonts w:ascii="Times New Roman" w:hAnsi="Times New Roman" w:cs="Times New Roman"/>
          <w:sz w:val="24"/>
        </w:rPr>
        <w:t>(структура занятий может варьироваться в соответствии с усвоением материала детьми)</w:t>
      </w:r>
      <w:r/>
    </w:p>
    <w:p>
      <w:pPr>
        <w:pStyle w:val="para5"/>
        <w:numPr>
          <w:ilvl w:val="0"/>
          <w:numId w:val="3"/>
        </w:numPr>
        <w:ind w:left="720" w:hanging="360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</w:rPr>
        <w:t>музыкально – ритмические движения</w:t>
      </w:r>
      <w:r/>
    </w:p>
    <w:p>
      <w:pPr>
        <w:pStyle w:val="para5"/>
        <w:numPr>
          <w:ilvl w:val="0"/>
          <w:numId w:val="3"/>
        </w:numPr>
        <w:ind w:left="720" w:hanging="360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</w:rPr>
        <w:t>развитие чувства ритма, музицирование,</w:t>
      </w:r>
      <w:r/>
    </w:p>
    <w:p>
      <w:pPr>
        <w:pStyle w:val="para5"/>
        <w:numPr>
          <w:ilvl w:val="0"/>
          <w:numId w:val="3"/>
        </w:numPr>
        <w:ind w:left="720" w:hanging="360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</w:rPr>
        <w:t>пальчиковая гимнастика</w:t>
      </w:r>
      <w:r/>
    </w:p>
    <w:p>
      <w:pPr>
        <w:pStyle w:val="para5"/>
        <w:numPr>
          <w:ilvl w:val="0"/>
          <w:numId w:val="3"/>
        </w:numPr>
        <w:ind w:left="720" w:hanging="360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</w:rPr>
        <w:t>слушание, импровизация</w:t>
      </w:r>
      <w:r/>
    </w:p>
    <w:p>
      <w:pPr>
        <w:pStyle w:val="para5"/>
        <w:numPr>
          <w:ilvl w:val="0"/>
          <w:numId w:val="3"/>
        </w:numPr>
        <w:ind w:left="720" w:hanging="360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</w:rPr>
        <w:t>распевание, пение</w:t>
      </w:r>
      <w:r/>
    </w:p>
    <w:p>
      <w:pPr>
        <w:pStyle w:val="para5"/>
        <w:numPr>
          <w:ilvl w:val="0"/>
          <w:numId w:val="3"/>
        </w:numPr>
        <w:ind w:left="720" w:hanging="360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</w:rPr>
        <w:t>пляски, хороводы</w:t>
      </w:r>
      <w:r/>
    </w:p>
    <w:p>
      <w:pPr>
        <w:pStyle w:val="para5"/>
        <w:numPr>
          <w:ilvl w:val="0"/>
          <w:numId w:val="3"/>
        </w:numPr>
        <w:ind w:left="720" w:hanging="360"/>
        <w:tabs defTabSz="708">
          <w:tab w:val="left" w:pos="0" w:leader="none"/>
        </w:tabs>
      </w:pPr>
      <w:r>
        <w:rPr>
          <w:rFonts w:ascii="Times New Roman" w:hAnsi="Times New Roman" w:cs="Times New Roman"/>
          <w:sz w:val="24"/>
        </w:rPr>
        <w:t>игры.</w:t>
      </w:r>
      <w:r/>
    </w:p>
    <w:p>
      <w:pPr>
        <w:pStyle w:val="para5"/>
        <w:spacing/>
        <w:jc w:val="both"/>
        <w:tabs defTabSz="708">
          <w:tab w:val="left" w:pos="0" w:leader="none"/>
        </w:tabs>
      </w:pPr>
      <w:r/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/>
    </w:p>
    <w:p>
      <w:pPr>
        <w:pStyle w:val="para5"/>
        <w:numPr>
          <w:ilvl w:val="0"/>
          <w:numId w:val="2"/>
        </w:numPr>
        <w:ind w:left="720" w:hanging="360"/>
        <w:spacing/>
        <w:jc w:val="both"/>
        <w:tabs defTabSz="708">
          <w:tab w:val="left" w:pos="0" w:leader="none"/>
        </w:tabs>
      </w:pPr>
      <w:r>
        <w:rPr>
          <w:noProof/>
        </w:rPr>
        <w:drawing>
          <wp:inline distT="0" distB="0" distL="114300" distR="114300">
            <wp:extent cx="5622290" cy="3530600"/>
            <wp:effectExtent l="0" t="0" r="0" b="0"/>
            <wp:docPr id="1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/>
                    <pic:cNvPicPr>
                      <a:picLocks noChangeAspect="1"/>
                      <a:extLst>
                        <a:ext uri="smNativeData">
                          <sm:smNativeData xmlns:sm="smNativeData" val="SMDATA_16_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BYAAAAAIAAAAAAAAAAAAAAAAAAAAAAAAABAAAAAAAAAAAAAAABAAAAliIAALgVAAADAP//AQAAAAEAAAAoAAAACAAAAAEAAAABAAAA"/>
                        </a:ext>
                      </a:extLst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22290" cy="353060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inline>
        </w:drawing>
      </w:r>
      <w:r/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  <w:t xml:space="preserve">                                        </w:t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  <w:t xml:space="preserve">                        </w:t>
      </w:r>
      <w:r>
        <w:rPr>
          <w:noProof/>
        </w:rPr>
        <w:drawing>
          <wp:inline distT="0" distB="0" distL="114300" distR="114300">
            <wp:extent cx="5031105" cy="2612390"/>
            <wp:effectExtent l="0" t="0" r="0" b="0"/>
            <wp:docPr id="2" name="Диаграмма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  <w:t xml:space="preserve">                   </w:t>
      </w:r>
      <w:r>
        <w:rPr>
          <w:noProof/>
        </w:rPr>
        <w:drawing>
          <wp:inline distT="0" distB="0" distL="114300" distR="114300">
            <wp:extent cx="3729355" cy="2183130"/>
            <wp:effectExtent l="0" t="0" r="0" b="0"/>
            <wp:docPr id="3" name="Диаграмма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  <w:t xml:space="preserve">              </w:t>
      </w:r>
      <w:r>
        <w:rPr>
          <w:noProof/>
        </w:rPr>
        <w:drawing>
          <wp:inline distT="0" distB="0" distL="114300" distR="114300">
            <wp:extent cx="4157980" cy="2381885"/>
            <wp:effectExtent l="0" t="0" r="0" b="0"/>
            <wp:docPr id="4" name="Диаграмма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  <w:t xml:space="preserve">      </w:t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  <w:t xml:space="preserve">                       </w:t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  <w:t xml:space="preserve">                                                </w:t>
      </w:r>
      <w:r>
        <w:rPr>
          <w:noProof/>
        </w:rPr>
        <w:drawing>
          <wp:inline distT="0" distB="0" distL="114300" distR="114300">
            <wp:extent cx="4391025" cy="2622550"/>
            <wp:effectExtent l="0" t="0" r="0" b="0"/>
            <wp:docPr id="5" name="Диаграмма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pStyle w:val="para5"/>
        <w:ind w:left="-360"/>
        <w:tabs defTabSz="708">
          <w:tab w:val="left" w:pos="0" w:leader="none"/>
        </w:tabs>
        <w:rPr>
          <w:sz w:val="20"/>
        </w:rPr>
      </w:pPr>
      <w:r>
        <w:rPr>
          <w:sz w:val="20"/>
        </w:rPr>
      </w:r>
    </w:p>
    <w:p>
      <w:pPr>
        <w:spacing/>
        <w:jc w:val="center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Развивающая предметно-пространственная среда</w:t>
      </w:r>
    </w:p>
    <w:p>
      <w:p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Пополнение и систематизация банка видеоматериалов:</w:t>
      </w:r>
    </w:p>
    <w:p>
      <w:pPr>
        <w:numPr>
          <w:ilvl w:val="0"/>
          <w:numId w:val="4"/>
        </w:num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новые танцевальные постановки</w:t>
      </w:r>
    </w:p>
    <w:p>
      <w:pPr>
        <w:numPr>
          <w:ilvl w:val="0"/>
          <w:numId w:val="4"/>
        </w:num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музыкально-дидактические игры: «музыкальный фартук», «музыкальные грибочки» шумовой оркестр;</w:t>
      </w:r>
    </w:p>
    <w:p>
      <w:pPr>
        <w:numPr>
          <w:ilvl w:val="0"/>
          <w:numId w:val="4"/>
        </w:num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   видеопрезентации: «80 лет со дня снятия Блокады  Ленинграда», «блокадный хлеб», «Герои Отечества», «песни Победы  и др.;</w:t>
      </w:r>
    </w:p>
    <w:p>
      <w:pPr>
        <w:numPr>
          <w:ilvl w:val="0"/>
          <w:numId w:val="4"/>
        </w:num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флэшмобы;</w:t>
      </w:r>
    </w:p>
    <w:p>
      <w:pPr>
        <w:numPr>
          <w:ilvl w:val="0"/>
          <w:numId w:val="4"/>
        </w:num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ритмические игры и др.</w:t>
      </w:r>
    </w:p>
    <w:p>
      <w:pPr>
        <w:pStyle w:val="para5"/>
        <w:ind w:left="-360"/>
        <w:spacing/>
        <w:jc w:val="center"/>
        <w:tabs defTabSz="708"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zh-cn" w:bidi="ar-sa"/>
        </w:rPr>
        <w:t>спектакль «Гуси-лебеди», «Стрекоза и муравей». «Морозко», «Как Колобок весну искал»(видеоматериал и фонотека). патриотические зоны (Бурятская, русская культура), театр на окне и тд.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  </w:t>
      </w:r>
    </w:p>
    <w:p>
      <w:pPr>
        <w:pStyle w:val="para5"/>
        <w:ind w:left="-360"/>
        <w:tabs defTabSz="708"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para5"/>
        <w:ind w:left="-360"/>
        <w:spacing/>
        <w:jc w:val="center"/>
        <w:tabs defTabSz="708">
          <w:tab w:val="left" w:pos="0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u-ru" w:eastAsia="zh-cn" w:bidi="ar-sa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val="ru-ru" w:eastAsia="zh-cn" w:bidi="ar-sa"/>
        </w:rPr>
        <w:t>Современные технологии в музыкальном воспитании</w:t>
      </w:r>
    </w:p>
    <w:p>
      <w:pPr>
        <w:spacing/>
        <w:jc w:val="center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Информационно-компьютерные технологии (ИКТ)</w:t>
      </w:r>
      <w:r>
        <w:rPr>
          <w:rFonts w:eastAsia="Times New Roman"/>
          <w:color w:val="000000"/>
          <w:sz w:val="24"/>
          <w:szCs w:val="24"/>
        </w:rPr>
      </w:r>
    </w:p>
    <w:p>
      <w:pPr>
        <w:numPr>
          <w:ilvl w:val="0"/>
          <w:numId w:val="5"/>
        </w:numPr>
        <w:ind w:left="0" w:firstLine="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Помогает расширить кругозор детей, побуждает к самостоятельности.</w:t>
      </w:r>
    </w:p>
    <w:p>
      <w:pPr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       Артикуляцоннная гимнастика</w:t>
      </w:r>
      <w:r>
        <w:rPr>
          <w:rFonts w:eastAsia="Times New Roman"/>
          <w:color w:val="000000"/>
          <w:sz w:val="24"/>
          <w:szCs w:val="24"/>
        </w:rPr>
      </w:r>
    </w:p>
    <w:p>
      <w:pPr>
        <w:numPr>
          <w:ilvl w:val="0"/>
          <w:numId w:val="5"/>
        </w:numPr>
        <w:ind w:left="0" w:firstLine="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Развивает память и чувство ритма, тренирует мышцы речевого аппарата.</w:t>
      </w:r>
    </w:p>
    <w:p>
      <w:pPr>
        <w:spacing/>
        <w:jc w:val="center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Пальчиковые игры</w:t>
      </w:r>
      <w:r>
        <w:rPr>
          <w:rFonts w:eastAsia="Times New Roman"/>
          <w:color w:val="000000"/>
          <w:sz w:val="24"/>
          <w:szCs w:val="24"/>
        </w:rPr>
      </w:r>
    </w:p>
    <w:p>
      <w:pPr>
        <w:numPr>
          <w:ilvl w:val="0"/>
          <w:numId w:val="5"/>
        </w:numPr>
        <w:ind w:left="0" w:firstLine="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Развивает мелкую моторику рук</w:t>
      </w:r>
    </w:p>
    <w:p>
      <w:pPr>
        <w:numPr>
          <w:ilvl w:val="0"/>
          <w:numId w:val="5"/>
        </w:numPr>
        <w:ind w:left="0" w:firstLine="0"/>
        <w:spacing/>
        <w:jc w:val="center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музыкатерапия</w:t>
      </w:r>
      <w:r>
        <w:rPr>
          <w:rFonts w:eastAsia="Times New Roman"/>
          <w:color w:val="000000"/>
          <w:sz w:val="24"/>
          <w:szCs w:val="24"/>
        </w:rPr>
      </w:r>
    </w:p>
    <w:p>
      <w:pPr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Повышает иммунитет, снимает раздражительность и напряжение.</w:t>
      </w:r>
    </w:p>
    <w:p>
      <w:pPr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/>
        <w:jc w:val="center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Инновационная деятельность</w:t>
      </w:r>
    </w:p>
    <w:p>
      <w:pPr>
        <w:ind w:left="283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  <w:u w:color="auto" w:val="single"/>
        </w:rPr>
        <w:t>Информационные технологии</w:t>
      </w:r>
      <w:r>
        <w:rPr>
          <w:rFonts w:eastAsia="Times New Roman"/>
          <w:color w:val="000000"/>
          <w:sz w:val="24"/>
          <w:szCs w:val="24"/>
        </w:rPr>
      </w:r>
    </w:p>
    <w:p>
      <w:pPr>
        <w:numPr>
          <w:ilvl w:val="0"/>
          <w:numId w:val="5"/>
        </w:numPr>
        <w:ind w:left="283" w:firstLine="0"/>
        <w:spacing/>
        <w:jc w:val="both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Сайты:</w:t>
      </w:r>
    </w:p>
    <w:p>
      <w:pPr>
        <w:numPr>
          <w:ilvl w:val="0"/>
          <w:numId w:val="6"/>
        </w:numPr>
        <w:ind w:left="283" w:firstLine="0"/>
        <w:spacing/>
        <w:jc w:val="both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«Маам.ru»</w:t>
      </w:r>
    </w:p>
    <w:p>
      <w:pPr>
        <w:numPr>
          <w:ilvl w:val="0"/>
          <w:numId w:val="6"/>
        </w:numPr>
        <w:ind w:left="283" w:firstLine="0"/>
        <w:spacing/>
        <w:jc w:val="both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Инфоурок  («Фестиваль педаго-гических идей»</w:t>
      </w:r>
    </w:p>
    <w:p>
      <w:pPr>
        <w:numPr>
          <w:ilvl w:val="0"/>
          <w:numId w:val="6"/>
        </w:numPr>
        <w:ind w:left="283" w:firstLine="0"/>
        <w:spacing/>
        <w:jc w:val="both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D-семинар (видеозаписи мастер-классов от сообщества педагогов, вебинары)</w:t>
      </w:r>
    </w:p>
    <w:p>
      <w:pPr>
        <w:numPr>
          <w:ilvl w:val="0"/>
          <w:numId w:val="6"/>
        </w:numPr>
        <w:ind w:left="283" w:firstLine="0"/>
        <w:spacing/>
        <w:jc w:val="both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Всероссийский форум «Педагоги России» на канале Телеграм. (участие в онлайн-форумах, педагогических марафонах, проектах)</w:t>
      </w:r>
    </w:p>
    <w:p>
      <w:pPr>
        <w:numPr>
          <w:ilvl w:val="0"/>
          <w:numId w:val="6"/>
        </w:numPr>
        <w:ind w:left="283" w:firstLine="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4"/>
          <w:szCs w:val="24"/>
          <w:u w:color="auto" w:val="single"/>
        </w:rPr>
      </w:pPr>
      <w:r>
        <w:rPr>
          <w:rFonts w:eastAsia="Times New Roman"/>
          <w:b/>
          <w:bCs/>
          <w:color w:val="000000"/>
          <w:sz w:val="24"/>
          <w:szCs w:val="24"/>
          <w:u w:color="auto" w:val="single"/>
        </w:rPr>
        <w:t>Опытно –экспериментальная деятельность:</w:t>
      </w:r>
      <w:r>
        <w:rPr>
          <w:rFonts w:eastAsia="Times New Roman"/>
          <w:color w:val="000000"/>
          <w:sz w:val="24"/>
          <w:szCs w:val="24"/>
        </w:rPr>
      </w:r>
    </w:p>
    <w:p>
      <w:pPr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Дыхательные упражнения:</w:t>
      </w:r>
    </w:p>
    <w:p>
      <w:pPr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«Ветер дует», «Атака звука»</w:t>
      </w:r>
    </w:p>
    <w:p>
      <w:pPr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«Звук на балконе», «Гармошка» и т.д.</w:t>
      </w:r>
    </w:p>
    <w:p>
      <w:pPr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Эвритмия:</w:t>
      </w:r>
    </w:p>
    <w:p>
      <w:pPr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«Хлопки, прыжки», «Мыши водят хоровод», «Листопад, листопад»,</w:t>
      </w:r>
    </w:p>
    <w:p>
      <w:pPr>
        <w:numPr>
          <w:ilvl w:val="0"/>
          <w:numId w:val="6"/>
        </w:numPr>
        <w:ind w:left="283" w:firstLine="0"/>
        <w:spacing/>
        <w:jc w:val="both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«Капли кап», упражнения под музыку.</w:t>
      </w:r>
    </w:p>
    <w:p>
      <w:pPr>
        <w:numPr>
          <w:ilvl w:val="0"/>
          <w:numId w:val="0"/>
        </w:numPr>
        <w:ind w:left="283" w:firstLine="360"/>
        <w:spacing/>
        <w:jc w:val="both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Работа с детьми</w:t>
      </w:r>
    </w:p>
    <w:p>
      <w:p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Тематическое планирование и проведение музыкальных занятий в соответствии с требованиями ФОП ДО и ФГОС  ДО - 2 раза в неделю;</w:t>
      </w:r>
    </w:p>
    <w:p>
      <w:p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2. Диагностика музыкального развития детей 2 раза в год;</w:t>
      </w:r>
    </w:p>
    <w:p>
      <w:p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3. Разработка сценариев и проведение музыкально-спортивных развлечений, праздников</w:t>
      </w:r>
    </w:p>
    <w:p>
      <w:p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4. Участие в конкурсах </w:t>
      </w:r>
    </w:p>
    <w:p>
      <w:p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     </w:t>
      </w:r>
      <w:r>
        <w:rPr>
          <w:rFonts w:eastAsia="Times New Roman"/>
          <w:color w:val="000000"/>
          <w:sz w:val="24"/>
          <w:szCs w:val="24"/>
        </w:rPr>
        <w:t xml:space="preserve">1.Диплом участника в городском дистанционном конкурсе чтецов на бурятском языке произведений поэтов Республики Бурятия </w:t>
      </w:r>
      <w:r>
        <w:rPr>
          <w:rFonts w:eastAsia="Times New Roman"/>
          <w:sz w:val="24"/>
          <w:szCs w:val="24"/>
        </w:rPr>
      </w:r>
    </w:p>
    <w:p>
      <w:p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«Буряад орон – Yзлы hайхан тоонтомни!»</w:t>
      </w:r>
      <w:r>
        <w:rPr>
          <w:rFonts w:eastAsia="Times New Roman"/>
          <w:sz w:val="24"/>
          <w:szCs w:val="24"/>
        </w:rPr>
      </w:r>
    </w:p>
    <w:p>
      <w:p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2. Диплом участника 5 городского конкурса «Мы разные, но мы вместе» </w:t>
      </w:r>
      <w:r>
        <w:rPr>
          <w:rFonts w:eastAsia="Times New Roman"/>
          <w:sz w:val="24"/>
          <w:szCs w:val="24"/>
        </w:rPr>
      </w:r>
    </w:p>
    <w:p>
      <w:p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3.Диплом победителя фестиваля конкурса «Амар мэндэ!» в номинации театральное искусство - художественное слово .,  Диплом победителя в номинации «вокал» ансамбль «Шоко-лад», диплом победителя в номинации «Хореографическое искусство» ансамбль «Карусель»</w:t>
      </w:r>
      <w:r>
        <w:rPr>
          <w:rFonts w:eastAsia="Times New Roman"/>
          <w:sz w:val="24"/>
          <w:szCs w:val="24"/>
        </w:rPr>
      </w:r>
    </w:p>
    <w:p>
      <w:p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Диплом победителя городского конкурса «Шэнэ жэлэй дуунуд»-номинация семейный ансамбль</w:t>
      </w:r>
      <w:r>
        <w:rPr>
          <w:rFonts w:eastAsia="Times New Roman"/>
          <w:sz w:val="24"/>
          <w:szCs w:val="24"/>
        </w:rPr>
      </w:r>
    </w:p>
    <w:p>
      <w:p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Диплом участника городского конкурса «Хонгео хонхонууд» семейный</w:t>
      </w:r>
      <w:r>
        <w:rPr>
          <w:rFonts w:eastAsia="Times New Roman"/>
          <w:sz w:val="24"/>
          <w:szCs w:val="24"/>
        </w:rPr>
      </w:r>
    </w:p>
    <w:p>
      <w:p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Диплом 1 степени городского дистанционного конкурса «Эжыдээ зорюулhан дуунууд»</w:t>
      </w:r>
      <w:r>
        <w:rPr>
          <w:rFonts w:eastAsia="Times New Roman"/>
          <w:sz w:val="24"/>
          <w:szCs w:val="24"/>
        </w:rPr>
      </w:r>
    </w:p>
    <w:p>
      <w:p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Диплом победителя в номинации «Смешинки» 1-го городского конкурса «Веселое детство»</w:t>
      </w:r>
    </w:p>
    <w:p>
      <w:p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/>
        <w:jc w:val="center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 xml:space="preserve"> </w:t>
      </w:r>
      <w:r>
        <w:rPr>
          <w:rFonts w:eastAsia="Times New Roman"/>
          <w:b/>
          <w:bCs/>
          <w:color w:val="000000"/>
          <w:sz w:val="28"/>
          <w:szCs w:val="28"/>
        </w:rPr>
        <w:t xml:space="preserve">В 2024-2025 году были организованы праздники и досуги </w:t>
      </w:r>
    </w:p>
    <w:p>
      <w:pPr>
        <w:numPr>
          <w:ilvl w:val="0"/>
          <w:numId w:val="7"/>
        </w:num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Праздник «День знаний» «Букваежка в гостях у сада»</w:t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Круглый стол с родителями-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Мастер класс для педагогов «Дело было в Колобке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осенние утренники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Проведение осенней ярмарки «Осенины»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Флеш-моб ко Дню народного единства «Вместе едины!»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Фестиваль-конкурс «Быть мамой прекрасно!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подготовка участников и сьемка челленджа ко Дню логопеда «Звучите профессионально»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музыкальное оформление литературного вечера «Осенняя пора» 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новогодние утренники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Разработка сценария и проведение кукольного спектакля «Прощание с елочкой»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проведение развлечения для подготовительных групп «Святки-колядки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pacing w:line="276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литературный вечер ко Дню рождения А.Н.Толстого. сказка «Лиса и волк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Организация работы по проекту  ДОУ «Времен связующая нить: Растим ПАТРИОТА! Растим ГРАЖДИН! Растим ЧЕЛОВЕКА! </w:t>
      </w:r>
    </w:p>
    <w:p>
      <w:pPr>
        <w:rPr>
          <w:rFonts w:eastAsia="Times New Roman"/>
          <w:sz w:val="24"/>
          <w:szCs w:val="24"/>
        </w:rPr>
      </w:pPr>
      <w:r>
        <w:rPr>
          <w:sz w:val="24"/>
          <w:szCs w:val="24"/>
          <w:lang w:val="ru-ru" w:eastAsia="zh-cn" w:bidi="ar-sa"/>
        </w:rPr>
        <w:t xml:space="preserve">        </w:t>
      </w:r>
      <w:r>
        <w:rPr>
          <w:rFonts w:eastAsia="Times New Roman"/>
          <w:sz w:val="24"/>
          <w:szCs w:val="24"/>
          <w:lang w:val="ru-ru" w:eastAsia="zh-cn" w:bidi="ar-sa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>разработка положения и проведение смотра-конкурса строевой песни для средних, старших и подготовительных групп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проведение развлечения «Масленица пришла-отворяй ворота!» все группы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музыкальное оформление конкурса чтецов среди воспитанников ДОУ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проведение утренника к 8 марта 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проведение фестиваля-конкурса «Таежная, озерная. Степная»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проведение театральной недели, Сказка «Колобок и Весна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музыкальное оформление конкурса «Мой папа-самый,самый»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конкурс «Песни Победы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фестиваля-конкурс  «Магия танца-2025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конкурс «чтецов к 80-летию Победы в ВОВ»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разработка  и трансляция проекта «Навстречу Победе» к 80-летию Победы в ВОВ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концерт к 80-летию Победы в ВОВ</w:t>
      </w:r>
      <w:r>
        <w:rPr>
          <w:rFonts w:eastAsia="Times New Roman"/>
          <w:sz w:val="24"/>
          <w:szCs w:val="24"/>
        </w:rPr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городской конкурс «Битва хоров»</w:t>
      </w:r>
    </w:p>
    <w:p>
      <w:pPr>
        <w:numPr>
          <w:ilvl w:val="0"/>
          <w:numId w:val="7"/>
        </w:numPr>
        <w:ind w:left="540" w:hanging="540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</w:r>
    </w:p>
    <w:p>
      <w:pPr>
        <w:spacing/>
        <w:jc w:val="center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b/>
          <w:bCs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 xml:space="preserve">                                   </w:t>
      </w:r>
      <w:r>
        <w:rPr>
          <w:rFonts w:eastAsia="Times New Roman"/>
          <w:b/>
          <w:bCs/>
          <w:color w:val="000000"/>
          <w:sz w:val="24"/>
          <w:szCs w:val="24"/>
        </w:rPr>
        <w:t>Задачи на следующий учебный год:</w:t>
      </w:r>
    </w:p>
    <w:p>
      <w:p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ascii="Microsoft Sans Serif" w:hAnsi="Microsoft Sans Serif" w:eastAsia="Microsoft Sans Serif" w:cs="Microsoft Sans Serif"/>
          <w:sz w:val="40"/>
          <w:szCs w:val="40"/>
        </w:rPr>
        <w:t xml:space="preserve">   </w:t>
      </w:r>
      <w:r>
        <w:rPr>
          <w:rFonts w:ascii="Arial" w:hAnsi="Arial" w:eastAsia="Arial" w:cs="Arial"/>
          <w:sz w:val="40"/>
          <w:szCs w:val="40"/>
        </w:rPr>
        <w:t>п</w:t>
      </w:r>
      <w:r>
        <w:rPr>
          <w:rFonts w:eastAsia="Times New Roman"/>
          <w:sz w:val="24"/>
          <w:szCs w:val="24"/>
        </w:rPr>
        <w:t>ройти курсы повышения квалификации по ФОП ДО;</w:t>
      </w:r>
    </w:p>
    <w:p>
      <w:p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   продолжить изучение программы и методической литературы в контексте с ФОП ДО;</w:t>
      </w:r>
    </w:p>
    <w:p>
      <w:p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   знакомиться с новыми педагогическими технологиями;</w:t>
      </w:r>
    </w:p>
    <w:p>
      <w:p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   совершенствовать свои знания в области классической и современной психологии и педагогики;</w:t>
      </w:r>
    </w:p>
    <w:p>
      <w:p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   совершенствовать знания современного содержания дошкольного образования;</w:t>
      </w:r>
    </w:p>
    <w:p>
      <w:p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   знакомиться с новыми формами, методами и приёмами обучения;</w:t>
      </w:r>
    </w:p>
    <w:p>
      <w:p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   принимать активное участие в работе  РМО и творческой группы детского сада,  педагогических советах, семинарах.</w:t>
      </w:r>
    </w:p>
    <w:p>
      <w:p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   организовывать работу с одарёнными детьми и принимать участие в музыкальных творческих конкурсах;</w:t>
      </w:r>
    </w:p>
    <w:p>
      <w:pPr>
        <w:ind w:left="540" w:hanging="540"/>
        <w:spacing w:line="192" w:lineRule="auto"/>
        <w:suppressAutoHyphens/>
        <w:hyphenationLines w:val="0"/>
        <w:outlineLvl w:val="1"/>
        <w:widowControl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-   оказывать помощь участникам профессиональных  конкурсов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Symbol">
    <w:panose1 w:val="05050102010706020507"/>
    <w:charset w:val="02"/>
    <w:family w:val="roman"/>
    <w:pitch w:val="default"/>
  </w:font>
  <w:font w:name="Microsoft Sans Serif">
    <w:panose1 w:val="020B0604020202020204"/>
    <w:charset w:val="cc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singleLevel"/>
    <w:name w:val="WW8Num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 w:eastAsia="Symbol" w:cs="Symbol"/>
      </w:rPr>
    </w:lvl>
  </w:abstractNum>
  <w:abstractNum w:abstractNumId="2">
    <w:multiLevelType w:val="singleLevel"/>
    <w:name w:val="WW8Num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 w:eastAsia="Symbol" w:cs="Symbol"/>
      </w:rPr>
    </w:lvl>
  </w:abstractNum>
  <w:abstractNum w:abstractNumId="3">
    <w:multiLevelType w:val="singleLevel"/>
    <w:name w:val="WW8Num1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 w:eastAsia="Symbol" w:cs="Symbol"/>
      </w:rPr>
    </w:lvl>
  </w:abstractNum>
  <w:abstractNum w:abstractNumId="4">
    <w:multiLevelType w:val="singleLevel"/>
    <w:name w:val="Bullet 4"/>
    <w:lvl w:ilvl="0">
      <w:numFmt w:val="bullet"/>
      <w:lvlText w:val="-"/>
      <w:lvlJc w:val="left"/>
      <w:pPr>
        <w:tabs>
          <w:tab w:val="num" w:pos="540"/>
        </w:tabs>
        <w:ind w:left="540" w:hanging="540"/>
      </w:pPr>
      <w:rPr>
        <w:rStyle w:val="char0"/>
        <w:u w:color="auto" w:val="single"/>
      </w:rPr>
    </w:lvl>
  </w:abstractNum>
  <w:abstractNum w:abstractNumId="5">
    <w:multiLevelType w:val="singleLevel"/>
    <w:name w:val="Bullet 5"/>
    <w:lvl w:ilvl="0">
      <w:numFmt w:val="bullet"/>
      <w:lvlText w:val=""/>
      <w:lvlJc w:val="left"/>
      <w:pPr>
        <w:tabs>
          <w:tab w:val="num" w:pos="360"/>
        </w:tabs>
        <w:ind w:left="360" w:hanging="360"/>
      </w:pPr>
      <w:rPr>
        <w:rStyle w:val="char0"/>
        <w:rFonts w:ascii="Wingdings" w:hAnsi="Wingdings" w:eastAsia="Wingdings" w:cs="Wingdings"/>
        <w:u w:color="auto" w:val="single"/>
      </w:rPr>
    </w:lvl>
  </w:abstractNum>
  <w:abstractNum w:abstractNumId="6">
    <w:multiLevelType w:val="singleLevel"/>
    <w:name w:val="Bullet 6"/>
    <w:lvl w:ilvl="0">
      <w:numFmt w:val="bullet"/>
      <w:lvlText w:val=""/>
      <w:lvlJc w:val="left"/>
      <w:pPr>
        <w:tabs>
          <w:tab w:val="num" w:pos="360"/>
        </w:tabs>
        <w:ind w:left="360" w:hanging="360"/>
      </w:pPr>
      <w:rPr>
        <w:rStyle w:val="char0"/>
        <w:rFonts w:ascii="Wingdings" w:hAnsi="Wingdings" w:eastAsia="Wingdings" w:cs="Wingdings"/>
        <w:u w:color="auto" w:val="single"/>
      </w:rPr>
    </w:lvl>
  </w:abstractNum>
  <w:abstractNum w:abstractNumId="7">
    <w:multiLevelType w:val="singleLevel"/>
    <w:name w:val="Bullet 7"/>
    <w:lvl w:ilvl="0">
      <w:numFmt w:val="bullet"/>
      <w:lvlText w:val="•"/>
      <w:lvlJc w:val="left"/>
      <w:pPr>
        <w:tabs>
          <w:tab w:val="num" w:pos="540"/>
        </w:tabs>
        <w:ind w:left="540" w:hanging="540"/>
      </w:pPr>
      <w:rPr>
        <w:rStyle w:val="char0"/>
        <w:u w:color="auto" w:val="singl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6"/>
    <w:tmLastPosSelect w:val="0"/>
    <w:tmLastPosFrameIdx w:val="0"/>
    <w:tmLastPosCaret>
      <w:tmLastPosPgfIdx w:val="205"/>
      <w:tmLastPosIdx w:val="102"/>
    </w:tmLastPosCaret>
    <w:tmLastPosAnchor>
      <w:tmLastPosPgfIdx w:val="0"/>
      <w:tmLastPosIdx w:val="0"/>
    </w:tmLastPosAnchor>
    <w:tmLastPosTblRect w:left="0" w:top="0" w:right="0" w:bottom="0"/>
  </w:tmLastPos>
  <w:tmAppRevision w:date="1748404006" w:val="106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7"/>
    <w:qFormat/>
    <w:basedOn w:val="para0"/>
    <w:pPr>
      <w:spacing w:after="200" w:beforeAutospacing="1" w:afterAutospacing="1"/>
      <w:widowControl/>
    </w:pPr>
    <w:rPr>
      <w:rFonts w:eastAsia="Times New Roman"/>
      <w:sz w:val="24"/>
      <w:szCs w:val="24"/>
      <w:lang w:val="ru-ru" w:eastAsia="ru-ru" w:bidi="ar-sa"/>
    </w:rPr>
  </w:style>
  <w:style w:type="paragraph" w:styleId="para5">
    <w:name w:val="No Spacing"/>
    <w:qFormat/>
    <w:pPr>
      <w:suppressAutoHyphens/>
      <w:hyphenationLines w:val="0"/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Calibri" w:hAnsi="Calibri" w:eastAsia="Calibri" w:cs="Calibri"/>
      <w:kern w:val="1"/>
      <w:sz w:val="22"/>
      <w:szCs w:val="22"/>
      <w:lang w:val="ru-ru" w:eastAsia="zh-cn" w:bidi="ar-sa"/>
    </w:rPr>
  </w:style>
  <w:style w:type="paragraph" w:styleId="para6" w:customStyle="1">
    <w:name w:val="Standard"/>
    <w:qFormat/>
    <w:pPr>
      <w:suppressAutoHyphens/>
      <w:hyphenationLines w:val="0"/>
      <w:widowControl/>
    </w:pPr>
    <w:rPr>
      <w:rFonts w:ascii="Calibri" w:hAnsi="Calibri" w:eastAsia="Calibri"/>
      <w:kern w:val="1"/>
      <w:sz w:val="24"/>
      <w:szCs w:val="24"/>
      <w:lang w:val="ru-ru" w:eastAsia="zh-cn" w:bidi="ar-sa"/>
    </w:rPr>
  </w:style>
  <w:style w:type="character" w:styleId="char0" w:default="1">
    <w:name w:val="Default Paragraph Font"/>
  </w:style>
  <w:style w:type="character" w:styleId="char1" w:customStyle="1">
    <w:name w:val="c4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c7"/>
    <w:qFormat/>
    <w:basedOn w:val="para0"/>
    <w:pPr>
      <w:spacing w:after="200" w:beforeAutospacing="1" w:afterAutospacing="1"/>
      <w:widowControl/>
    </w:pPr>
    <w:rPr>
      <w:rFonts w:eastAsia="Times New Roman"/>
      <w:sz w:val="24"/>
      <w:szCs w:val="24"/>
      <w:lang w:val="ru-ru" w:eastAsia="ru-ru" w:bidi="ar-sa"/>
    </w:rPr>
  </w:style>
  <w:style w:type="paragraph" w:styleId="para5">
    <w:name w:val="No Spacing"/>
    <w:qFormat/>
    <w:pPr>
      <w:suppressAutoHyphens/>
      <w:hyphenationLines w:val="0"/>
      <w:widowControl/>
      <w:pBdr>
        <w:top w:val="nil" w:sz="0" w:space="0" w:color="000000" tmln="20, 20, 20, 0, 0"/>
        <w:left w:val="nil" w:sz="0" w:space="0" w:color="000000" tmln="20, 20, 20, 0, 0"/>
        <w:bottom w:val="nil" w:sz="0" w:space="0" w:color="000000" tmln="20, 20, 20, 0, 0"/>
        <w:right w:val="nil" w:sz="0" w:space="0" w:color="000000" tmln="20, 20, 20, 0, 0"/>
        <w:between w:val="nil" w:sz="0" w:space="0" w:color="000000" tmln="20, 20, 20, 0, 0"/>
      </w:pBdr>
      <w:shd w:val="none"/>
    </w:pPr>
    <w:rPr>
      <w:rFonts w:ascii="Calibri" w:hAnsi="Calibri" w:eastAsia="Calibri" w:cs="Calibri"/>
      <w:kern w:val="1"/>
      <w:sz w:val="22"/>
      <w:szCs w:val="22"/>
      <w:lang w:val="ru-ru" w:eastAsia="zh-cn" w:bidi="ar-sa"/>
    </w:rPr>
  </w:style>
  <w:style w:type="paragraph" w:styleId="para6" w:customStyle="1">
    <w:name w:val="Standard"/>
    <w:qFormat/>
    <w:pPr>
      <w:suppressAutoHyphens/>
      <w:hyphenationLines w:val="0"/>
      <w:widowControl/>
    </w:pPr>
    <w:rPr>
      <w:rFonts w:ascii="Calibri" w:hAnsi="Calibri" w:eastAsia="Calibri"/>
      <w:kern w:val="1"/>
      <w:sz w:val="24"/>
      <w:szCs w:val="24"/>
      <w:lang w:val="ru-ru" w:eastAsia="zh-cn" w:bidi="ar-sa"/>
    </w:rPr>
  </w:style>
  <w:style w:type="character" w:styleId="char0" w:default="1">
    <w:name w:val="Default Paragraph Font"/>
  </w:style>
  <w:style w:type="character" w:styleId="char1" w:customStyle="1">
    <w:name w:val="c4"/>
    <w:basedOn w:val="char0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image" Target="media/image1.jpeg"/><Relationship Id="rId9" Type="http://schemas.openxmlformats.org/officeDocument/2006/relationships/chart" Target="charts/chart1.xml"/><Relationship Id="rId10" Type="http://schemas.openxmlformats.org/officeDocument/2006/relationships/chart" Target="charts/chart2.xml"/><Relationship Id="rId11" Type="http://schemas.openxmlformats.org/officeDocument/2006/relationships/chart" Target="charts/chart3.xml"/><Relationship Id="rId12" Type="http://schemas.openxmlformats.org/officeDocument/2006/relationships/chart" Target="charts/chart4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roundedCorners val="0"/>
  <c:chart>
    <c:title>
      <c:tx>
        <c:rich>
          <a:bodyPr anchor="ctr" anchorCtr="1"/>
          <a:lstStyle/>
          <a:p>
            <a:pPr>
              <a:defRPr lang="ru-ru" sz="2320" b="0" i="0" u="none" strike="noStrike" kern="100">
                <a:solidFill>
                  <a:srgbClr val="FF0000"/>
                </a:solidFill>
                <a:latin typeface="Calibri" charset="0"/>
              </a:defRPr>
            </a:pPr>
            <a:r>
              <a:t>II Младшая группа на 2024 2025 г.</a:t>
            </a:r>
          </a:p>
        </c:rich>
      </c:tx>
      <c:layout>
        <c:manualLayout>
          <c:xMode val="edge"/>
          <c:yMode val="edge"/>
          <c:wMode val="factor"/>
          <c:hMode val="factor"/>
          <c:x val="0.380250"/>
          <c:y val="0.004750"/>
          <c:w val="0.469000"/>
          <c:h val="0.083000"/>
        </c:manualLayout>
      </c:layout>
      <c:overlay val="0"/>
      <c:spPr>
        <a:noFill/>
        <a:ln w="9525">
          <a:noFill/>
        </a:ln>
      </c:spPr>
    </c:title>
    <c:plotArea>
      <c:layout>
        <c:manualLayout>
          <c:xMode val="edge"/>
          <c:yMode val="edge"/>
          <c:wMode val="factor"/>
          <c:hMode val="factor"/>
          <c:x val="0.061000"/>
          <c:y val="0.129000"/>
          <c:w val="0.908250"/>
          <c:h val="0.755500"/>
        </c:manualLayout>
      </c:layout>
      <c:barChart>
        <c:barDir val="col"/>
        <c:grouping val="clustered"/>
        <c:ser>
          <c:idx val="0"/>
          <c:order val="0"/>
          <c:tx>
            <c:v>начало года</c:v>
          </c:tx>
          <c:spPr>
            <a:solidFill>
              <a:srgbClr val="4472C4"/>
            </a:solidFill>
            <a:ln w="9525">
              <a:noFill/>
            </a:ln>
          </c:spPr>
          <c:dLbls>
            <c:numFmt formatCode=" " sourceLinked="1"/>
            <c:spPr>
              <a:noFill/>
              <a:ln w="9525">
                <a:noFill/>
              </a:ln>
            </c:spPr>
            <c:txPr>
              <a:bodyPr anchor="ctr" anchorCtr="1"/>
              <a:lstStyle/>
              <a:p>
                <a:pPr>
                  <a:defRPr lang="ru-ru" sz="780" b="0" i="0" u="none" strike="noStrike" kern="100">
                    <a:solidFill>
                      <a:srgbClr val="3F3F3F"/>
                    </a:solidFill>
                    <a:latin typeface="Calibri" charset="0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Lit>
              <c:ptCount val="3"/>
              <c:pt idx="0">
                <c:v>1.Восприятие</c:v>
              </c:pt>
              <c:pt idx="1">
                <c:v>2.Пение</c:v>
              </c:pt>
              <c:pt idx="2">
                <c:v>3.Чувство ритма</c:v>
              </c:pt>
            </c:strLit>
          </c:cat>
          <c:val>
            <c:numLit>
              <c:formatCode> </c:formatCode>
              <c:ptCount val="3"/>
              <c:pt idx="0">
                <c:v>1.62962962962963</c:v>
              </c:pt>
              <c:pt idx="1">
                <c:v>1.81481481481481</c:v>
              </c:pt>
              <c:pt idx="2">
                <c:v>1.7037037037037</c:v>
              </c:pt>
            </c:numLit>
          </c:val>
          <c:extLst>
            <c:ext xmlns:sm="smo" uri="smo">
              <sm:meanLine>
                <c:spPr>
                  <a:ln w="9525">
                    <a:noFill/>
                  </a:ln>
                </c:spPr>
              </sm:meanLine>
              <sm:minMaxLine>
                <c:spPr>
                  <a:ln w="9525">
                    <a:noFill/>
                  </a:ln>
                </c:spPr>
              </sm:minMaxLine>
              <sm:stDevLine>
                <c:spPr>
                  <a:ln w="9525">
                    <a:noFill/>
                  </a:ln>
                </c:spPr>
              </sm:stDevLine>
              <sm:trendLine>
                <c:spPr>
                  <a:ln w="9525">
                    <a:noFill/>
                  </a:ln>
                </c:spPr>
              </sm:trendLine>
            </c:ext>
          </c:extLst>
        </c:ser>
        <c:ser>
          <c:idx val="1"/>
          <c:order val="1"/>
          <c:tx>
            <c:v>конец года</c:v>
          </c:tx>
          <c:spPr>
            <a:solidFill>
              <a:srgbClr val="ED7D31"/>
            </a:solidFill>
            <a:ln w="9525">
              <a:noFill/>
            </a:ln>
          </c:spPr>
          <c:dLbls>
            <c:numFmt formatCode=" " sourceLinked="1"/>
            <c:spPr>
              <a:noFill/>
              <a:ln w="9525">
                <a:noFill/>
              </a:ln>
            </c:spPr>
            <c:txPr>
              <a:bodyPr anchor="ctr" anchorCtr="1"/>
              <a:lstStyle/>
              <a:p>
                <a:pPr>
                  <a:defRPr lang="ru-ru" sz="780" b="0" i="0" u="none" strike="noStrike" kern="100">
                    <a:solidFill>
                      <a:srgbClr val="3F3F3F"/>
                    </a:solidFill>
                    <a:latin typeface="Calibri" charset="0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Lit>
              <c:ptCount val="3"/>
              <c:pt idx="0">
                <c:v>1.Восприятие</c:v>
              </c:pt>
              <c:pt idx="1">
                <c:v>2.Пение</c:v>
              </c:pt>
              <c:pt idx="2">
                <c:v>3.Чувство ритма</c:v>
              </c:pt>
            </c:strLit>
          </c:cat>
          <c:val>
            <c:numLit>
              <c:formatCode> </c:formatCode>
              <c:ptCount val="3"/>
              <c:pt idx="0">
                <c:v>1.72222222222222</c:v>
              </c:pt>
              <c:pt idx="1">
                <c:v>2</c:v>
              </c:pt>
              <c:pt idx="2">
                <c:v>1.81481481481481</c:v>
              </c:pt>
            </c:numLit>
          </c:val>
          <c:extLst>
            <c:ext xmlns:sm="smo" uri="smo">
              <sm:meanLine>
                <c:spPr>
                  <a:ln w="9525">
                    <a:noFill/>
                  </a:ln>
                </c:spPr>
              </sm:meanLine>
              <sm:minMaxLine>
                <c:spPr>
                  <a:ln w="9525">
                    <a:noFill/>
                  </a:ln>
                </c:spPr>
              </sm:minMaxLine>
              <sm:stDevLine>
                <c:spPr>
                  <a:ln w="9525">
                    <a:noFill/>
                  </a:ln>
                </c:spPr>
              </sm:stDevLine>
              <sm:trendLine>
                <c:spPr>
                  <a:ln w="9525">
                    <a:noFill/>
                  </a:ln>
                </c:spPr>
              </sm:trendLine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gapWidth val="219"/>
        <c:axId val="10"/>
        <c:axId val="11"/>
      </c:barChart>
      <c:catAx>
        <c:axId val="1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9525">
            <a:solidFill>
              <a:srgbClr val="D8D8D8"/>
            </a:solidFill>
          </a:ln>
        </c:spPr>
        <c:txPr>
          <a:bodyPr anchor="ctr" anchorCtr="1" rot="-60000000"/>
          <a:lstStyle/>
          <a:p>
            <a:pPr>
              <a:defRPr lang="ru-ru" sz="780" b="0" i="0" u="none" strike="noStrike" kern="100">
                <a:solidFill>
                  <a:srgbClr val="595959"/>
                </a:solidFill>
                <a:latin typeface="Calibri" charset="0"/>
              </a:defRPr>
            </a:pPr>
          </a:p>
        </c:txPr>
        <c:crossAx val="11"/>
        <c:crosses val="autoZero"/>
        <c:auto val="1"/>
      </c:catAx>
      <c:valAx>
        <c:axId val="11"/>
        <c:scaling>
          <c:orientation val="minMax"/>
        </c:scaling>
        <c:delete val="0"/>
        <c:axPos val="l"/>
        <c:majorGridlines>
          <c:spPr>
            <a:ln w="9525">
              <a:solidFill>
                <a:srgbClr val="D8D8D8"/>
              </a:solidFill>
            </a:ln>
          </c:spPr>
        </c:majorGridlines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 anchor="ctr" anchorCtr="1" rot="-60000000"/>
          <a:lstStyle/>
          <a:p>
            <a:pPr>
              <a:defRPr lang="ru-ru" sz="780" b="0" i="0" u="none" strike="noStrike" kern="100">
                <a:solidFill>
                  <a:srgbClr val="595959"/>
                </a:solidFill>
                <a:latin typeface="Calibri" charset="0"/>
              </a:defRPr>
            </a:pPr>
          </a:p>
        </c:txPr>
        <c:crossAx val="10"/>
        <c:crosses val="autoZero"/>
        <c:crossBetween val="between"/>
      </c:valAx>
      <c:spPr>
        <a:noFill/>
        <a:ln w="9525">
          <a:noFill/>
        </a:ln>
      </c:spPr>
    </c:plotArea>
    <c:legend>
      <c:legendPos val="b"/>
      <c:layout>
        <c:manualLayout>
          <c:xMode val="edge"/>
          <c:yMode val="edge"/>
          <c:wMode val="factor"/>
          <c:hMode val="factor"/>
          <c:x val="0.431250"/>
          <c:y val="0.939000"/>
          <c:w val="0.129250"/>
          <c:h val="0.060500"/>
        </c:manualLayout>
      </c:layout>
      <c:overlay val="0"/>
      <c:spPr>
        <a:noFill/>
        <a:ln w="9525">
          <a:noFill/>
        </a:ln>
      </c:spPr>
      <c:txPr>
        <a:bodyPr numCol="2"/>
        <a:lstStyle/>
        <a:p>
          <a:pPr>
            <a:defRPr lang="ru-ru" sz="780" b="0" i="0" u="none" strike="noStrike" kern="100">
              <a:solidFill>
                <a:srgbClr val="595959"/>
              </a:solidFill>
              <a:latin typeface="Calibri" charset="0"/>
            </a:defRPr>
          </a:pPr>
        </a:p>
      </c:txPr>
    </c:legend>
    <c:plotVisOnly val="1"/>
    <c:dispBlanksAs val="gap"/>
  </c:chart>
  <c:spPr>
    <a:noFill/>
    <a:ln w="9525">
      <a:noFill/>
    </a:ln>
  </c:spPr>
  <c:txPr>
    <a:bodyPr anchor="t" rot="0"/>
    <a:lstStyle/>
    <a:p>
      <a:pPr>
        <a:defRPr lang="ru-ru" sz="865" b="0" i="0" u="none" strike="noStrike" kern="100">
          <a:solidFill>
            <a:srgbClr val="000000"/>
          </a:solidFill>
          <a:latin typeface="Calibri" charset="204"/>
        </a:defRPr>
      </a:pPr>
    </a:p>
  </c:txPr>
  <c:extLst>
    <c:ext xmlns:sm="smo" uri="smo">
      <sm:colorScheme xmlns:sm="smo" id="1748404006" val="15"/>
    </c:ext>
  </c:extLst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roundedCorners val="0"/>
  <c:chart>
    <c:title>
      <c:tx>
        <c:rich>
          <a:bodyPr anchor="ctr" anchorCtr="1"/>
          <a:lstStyle/>
          <a:p>
            <a:pPr>
              <a:defRPr lang="ru-ru" sz="1625" b="0" i="0" u="none" strike="noStrike" kern="100">
                <a:solidFill>
                  <a:srgbClr val="FF0000"/>
                </a:solidFill>
                <a:latin typeface="Calibri" charset="0"/>
              </a:defRPr>
            </a:pPr>
            <a:r>
              <a:t>Средняя группа на 2024-2025 г.</a:t>
            </a:r>
          </a:p>
        </c:rich>
      </c:tx>
      <c:layout/>
      <c:overlay val="0"/>
      <c:spPr>
        <a:noFill/>
        <a:ln w="9525">
          <a:noFill/>
        </a:ln>
      </c:spPr>
    </c:title>
    <c:plotArea>
      <c:layout/>
      <c:barChart>
        <c:barDir val="col"/>
        <c:grouping val="clustered"/>
        <c:ser>
          <c:idx val="0"/>
          <c:order val="0"/>
          <c:tx>
            <c:v>начало года</c:v>
          </c:tx>
          <c:spPr>
            <a:solidFill>
              <a:srgbClr val="4472C4"/>
            </a:solidFill>
            <a:ln w="9525">
              <a:noFill/>
            </a:ln>
          </c:spPr>
          <c:dLbls>
            <c:numFmt formatCode=" " sourceLinked="1"/>
            <c:spPr>
              <a:noFill/>
              <a:ln w="9525">
                <a:noFill/>
              </a:ln>
            </c:spPr>
            <c:txPr>
              <a:bodyPr anchor="ctr" anchorCtr="1"/>
              <a:lstStyle/>
              <a:p>
                <a:pPr>
                  <a:defRPr lang="ru-ru" sz="610" b="0" i="0" u="none" strike="noStrike" kern="100">
                    <a:solidFill>
                      <a:srgbClr val="3F3F3F"/>
                    </a:solidFill>
                    <a:latin typeface="Calibri" charset="0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Lit>
              <c:ptCount val="5"/>
              <c:pt idx="0">
                <c:v>1.Восприятие</c:v>
              </c:pt>
              <c:pt idx="1">
                <c:v>2. Звуковысотный слух</c:v>
              </c:pt>
              <c:pt idx="2">
                <c:v>2.Пение</c:v>
              </c:pt>
              <c:pt idx="3">
                <c:v>3.Чувство ритма</c:v>
              </c:pt>
              <c:pt idx="4">
                <c:v>5. Музыкальное творчество</c:v>
              </c:pt>
            </c:strLit>
          </c:cat>
          <c:val>
            <c:numLit>
              <c:formatCode> </c:formatCode>
              <c:ptCount val="5"/>
              <c:pt idx="0">
                <c:v>1.75</c:v>
              </c:pt>
              <c:pt idx="1">
                <c:v>1.63</c:v>
              </c:pt>
              <c:pt idx="2">
                <c:v>2.2</c:v>
              </c:pt>
              <c:pt idx="3">
                <c:v>1.94</c:v>
              </c:pt>
              <c:pt idx="4">
                <c:v>2</c:v>
              </c:pt>
            </c:numLit>
          </c:val>
          <c:extLst>
            <c:ext xmlns:sm="smo" uri="smo">
              <sm:meanLine>
                <c:spPr>
                  <a:ln w="9525">
                    <a:noFill/>
                  </a:ln>
                </c:spPr>
              </sm:meanLine>
              <sm:minMaxLine>
                <c:spPr>
                  <a:ln w="9525">
                    <a:noFill/>
                  </a:ln>
                </c:spPr>
              </sm:minMaxLine>
              <sm:stDevLine>
                <c:spPr>
                  <a:ln w="9525">
                    <a:noFill/>
                  </a:ln>
                </c:spPr>
              </sm:stDevLine>
              <sm:trendLine>
                <c:spPr>
                  <a:ln w="9525">
                    <a:noFill/>
                  </a:ln>
                </c:spPr>
              </sm:trendLine>
            </c:ext>
          </c:extLst>
        </c:ser>
        <c:ser>
          <c:idx val="1"/>
          <c:order val="1"/>
          <c:tx>
            <c:v>конец года</c:v>
          </c:tx>
          <c:spPr>
            <a:solidFill>
              <a:srgbClr val="ED7D31"/>
            </a:solidFill>
            <a:ln w="9525">
              <a:noFill/>
            </a:ln>
          </c:spPr>
          <c:dLbls>
            <c:numFmt formatCode=" " sourceLinked="1"/>
            <c:spPr>
              <a:noFill/>
              <a:ln w="9525">
                <a:noFill/>
              </a:ln>
            </c:spPr>
            <c:txPr>
              <a:bodyPr anchor="ctr" anchorCtr="1"/>
              <a:lstStyle/>
              <a:p>
                <a:pPr>
                  <a:defRPr lang="ru-ru" sz="610" b="0" i="0" u="none" strike="noStrike" kern="100">
                    <a:solidFill>
                      <a:srgbClr val="3F3F3F"/>
                    </a:solidFill>
                    <a:latin typeface="Calibri" charset="0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Lit>
              <c:ptCount val="5"/>
              <c:pt idx="0">
                <c:v>1.Восприятие</c:v>
              </c:pt>
              <c:pt idx="1">
                <c:v>2. Звуковысотный слух</c:v>
              </c:pt>
              <c:pt idx="2">
                <c:v>2.Пение</c:v>
              </c:pt>
              <c:pt idx="3">
                <c:v>3.Чувство ритма</c:v>
              </c:pt>
              <c:pt idx="4">
                <c:v>5. Музыкальное творчество</c:v>
              </c:pt>
            </c:strLit>
          </c:cat>
          <c:val>
            <c:numLit>
              <c:formatCode> </c:formatCode>
              <c:ptCount val="5"/>
              <c:pt idx="0">
                <c:v>1.87</c:v>
              </c:pt>
              <c:pt idx="1">
                <c:v>1.91</c:v>
              </c:pt>
              <c:pt idx="2">
                <c:v>2.54</c:v>
              </c:pt>
              <c:pt idx="3">
                <c:v>2.31</c:v>
              </c:pt>
              <c:pt idx="4">
                <c:v>2.36</c:v>
              </c:pt>
            </c:numLit>
          </c:val>
          <c:extLst>
            <c:ext xmlns:sm="smo" uri="smo">
              <sm:meanLine>
                <c:spPr>
                  <a:ln w="9525">
                    <a:noFill/>
                  </a:ln>
                </c:spPr>
              </sm:meanLine>
              <sm:minMaxLine>
                <c:spPr>
                  <a:ln w="9525">
                    <a:noFill/>
                  </a:ln>
                </c:spPr>
              </sm:minMaxLine>
              <sm:stDevLine>
                <c:spPr>
                  <a:ln w="9525">
                    <a:noFill/>
                  </a:ln>
                </c:spPr>
              </sm:stDevLine>
              <sm:trendLine>
                <c:spPr>
                  <a:ln w="9525">
                    <a:noFill/>
                  </a:ln>
                </c:spPr>
              </sm:trendLine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gapWidth val="219"/>
        <c:overlap val="-27"/>
        <c:axId val="10"/>
        <c:axId val="11"/>
      </c:barChart>
      <c:catAx>
        <c:axId val="1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9525">
            <a:solidFill>
              <a:srgbClr val="D8D8D8"/>
            </a:solidFill>
          </a:ln>
        </c:spPr>
        <c:txPr>
          <a:bodyPr anchor="ctr" anchorCtr="1" rot="-60000000"/>
          <a:lstStyle/>
          <a:p>
            <a:pPr>
              <a:defRPr lang="ru-ru" sz="610" b="0" i="0" u="none" strike="noStrike" kern="100">
                <a:solidFill>
                  <a:srgbClr val="595959"/>
                </a:solidFill>
                <a:latin typeface="Calibri" charset="0"/>
              </a:defRPr>
            </a:pPr>
          </a:p>
        </c:txPr>
        <c:crossAx val="11"/>
        <c:crosses val="autoZero"/>
        <c:auto val="1"/>
      </c:catAx>
      <c:valAx>
        <c:axId val="11"/>
        <c:scaling>
          <c:orientation val="minMax"/>
        </c:scaling>
        <c:delete val="0"/>
        <c:axPos val="l"/>
        <c:majorGridlines>
          <c:spPr>
            <a:ln w="9525">
              <a:solidFill>
                <a:srgbClr val="D8D8D8"/>
              </a:solidFill>
            </a:ln>
          </c:spPr>
        </c:majorGridlines>
        <c:numFmt formatCode=" Ⱥ" sourceLinked="1"/>
        <c:majorTickMark val="none"/>
        <c:minorTickMark val="none"/>
        <c:tickLblPos val="nextTo"/>
        <c:spPr>
          <a:ln w="9525">
            <a:noFill/>
          </a:ln>
        </c:spPr>
        <c:txPr>
          <a:bodyPr anchor="ctr" anchorCtr="1" rot="-60000000"/>
          <a:lstStyle/>
          <a:p>
            <a:pPr>
              <a:defRPr lang="ru-ru" sz="610" b="0" i="0" u="none" strike="noStrike" kern="100">
                <a:solidFill>
                  <a:srgbClr val="595959"/>
                </a:solidFill>
                <a:latin typeface="Calibri" charset="0"/>
              </a:defRPr>
            </a:pPr>
          </a:p>
        </c:txPr>
        <c:crossAx val="10"/>
        <c:crosses val="autoZero"/>
        <c:crossBetween val="between"/>
      </c:valAx>
      <c:spPr>
        <a:noFill/>
        <a:ln w="9525">
          <a:noFill/>
        </a:ln>
      </c:spPr>
    </c:plotArea>
    <c:legend>
      <c:legendPos val="b"/>
      <c:layout/>
      <c:overlay val="0"/>
      <c:spPr>
        <a:noFill/>
        <a:ln w="9525">
          <a:noFill/>
        </a:ln>
      </c:spPr>
      <c:txPr>
        <a:bodyPr numCol="2"/>
        <a:lstStyle/>
        <a:p>
          <a:pPr>
            <a:defRPr lang="ru-ru" sz="610" b="0" i="0" u="none" strike="noStrike" kern="100">
              <a:solidFill>
                <a:srgbClr val="595959"/>
              </a:solidFill>
              <a:latin typeface="Calibri" charset="0"/>
            </a:defRPr>
          </a:pPr>
        </a:p>
      </c:txPr>
    </c:legend>
    <c:plotVisOnly val="1"/>
    <c:dispBlanksAs val="gap"/>
  </c:chart>
  <c:spPr>
    <a:noFill/>
    <a:ln w="9525">
      <a:noFill/>
    </a:ln>
  </c:spPr>
  <c:txPr>
    <a:bodyPr anchor="t" rot="0"/>
    <a:lstStyle/>
    <a:p>
      <a:pPr>
        <a:defRPr lang="ru-ru" sz="675" b="0" i="0" u="none" strike="noStrike" kern="100">
          <a:solidFill>
            <a:srgbClr val="000000"/>
          </a:solidFill>
          <a:latin typeface="Calibri" charset="204"/>
        </a:defRPr>
      </a:pPr>
    </a:p>
  </c:txPr>
  <c:extLst>
    <c:ext xmlns:sm="smo" uri="smo">
      <sm:colorScheme xmlns:sm="smo" id="1748404006" val="15"/>
    </c:ext>
  </c:extLst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roundedCorners val="0"/>
  <c:chart>
    <c:title>
      <c:tx>
        <c:rich>
          <a:bodyPr anchor="ctr" anchorCtr="1"/>
          <a:lstStyle/>
          <a:p>
            <a:pPr>
              <a:defRPr lang="ru-ru" sz="1670" b="0" i="0" u="none" strike="noStrike" kern="100">
                <a:solidFill>
                  <a:srgbClr val="FF0000"/>
                </a:solidFill>
                <a:latin typeface="Calibri" charset="0"/>
              </a:defRPr>
            </a:pPr>
            <a:r>
              <a:t>Старшая группа на 2024-2025 г.</a:t>
            </a:r>
          </a:p>
        </c:rich>
      </c:tx>
      <c:layout/>
      <c:overlay val="0"/>
      <c:spPr>
        <a:noFill/>
        <a:ln w="9525">
          <a:noFill/>
        </a:ln>
      </c:spPr>
    </c:title>
    <c:plotArea>
      <c:layout/>
      <c:barChart>
        <c:barDir val="col"/>
        <c:grouping val="clustered"/>
        <c:ser>
          <c:idx val="0"/>
          <c:order val="0"/>
          <c:tx>
            <c:v>начало года</c:v>
          </c:tx>
          <c:spPr>
            <a:solidFill>
              <a:srgbClr val="4472C4"/>
            </a:solidFill>
            <a:ln w="9525">
              <a:noFill/>
            </a:ln>
          </c:spPr>
          <c:dLbls>
            <c:numFmt formatCode=" " sourceLinked="1"/>
            <c:spPr>
              <a:noFill/>
              <a:ln w="9525">
                <a:noFill/>
              </a:ln>
            </c:spPr>
            <c:txPr>
              <a:bodyPr anchor="ctr" anchorCtr="1"/>
              <a:lstStyle/>
              <a:p>
                <a:pPr>
                  <a:defRPr lang="ru-ru" sz="625" b="0" i="0" u="none" strike="noStrike" kern="100">
                    <a:solidFill>
                      <a:srgbClr val="3F3F3F"/>
                    </a:solidFill>
                    <a:latin typeface="Calibri" charset="0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Lit>
              <c:ptCount val="5"/>
              <c:pt idx="0">
                <c:v>1.Восприятие</c:v>
              </c:pt>
              <c:pt idx="1">
                <c:v>2. Звуковысотный слух</c:v>
              </c:pt>
              <c:pt idx="2">
                <c:v>2.Пение</c:v>
              </c:pt>
              <c:pt idx="3">
                <c:v>3.Чувство ритма</c:v>
              </c:pt>
              <c:pt idx="4">
                <c:v>5. Музыкальное творчество</c:v>
              </c:pt>
            </c:strLit>
          </c:cat>
          <c:val>
            <c:numLit>
              <c:formatCode> </c:formatCode>
              <c:ptCount val="5"/>
              <c:pt idx="0">
                <c:v>1.88</c:v>
              </c:pt>
              <c:pt idx="1">
                <c:v>1.95</c:v>
              </c:pt>
              <c:pt idx="2">
                <c:v>2.58</c:v>
              </c:pt>
              <c:pt idx="3">
                <c:v>2.39</c:v>
              </c:pt>
              <c:pt idx="4">
                <c:v>2.39</c:v>
              </c:pt>
            </c:numLit>
          </c:val>
          <c:extLst>
            <c:ext xmlns:sm="smo" uri="smo">
              <sm:meanLine>
                <c:spPr>
                  <a:ln w="9525">
                    <a:noFill/>
                  </a:ln>
                </c:spPr>
              </sm:meanLine>
              <sm:minMaxLine>
                <c:spPr>
                  <a:ln w="9525">
                    <a:noFill/>
                  </a:ln>
                </c:spPr>
              </sm:minMaxLine>
              <sm:stDevLine>
                <c:spPr>
                  <a:ln w="9525">
                    <a:noFill/>
                  </a:ln>
                </c:spPr>
              </sm:stDevLine>
              <sm:trendLine>
                <c:spPr>
                  <a:ln w="9525">
                    <a:noFill/>
                  </a:ln>
                </c:spPr>
              </sm:trendLine>
            </c:ext>
          </c:extLst>
        </c:ser>
        <c:ser>
          <c:idx val="1"/>
          <c:order val="1"/>
          <c:tx>
            <c:v>конец года</c:v>
          </c:tx>
          <c:spPr>
            <a:solidFill>
              <a:srgbClr val="ED7D31"/>
            </a:solidFill>
            <a:ln w="9525">
              <a:noFill/>
            </a:ln>
          </c:spPr>
          <c:dLbls>
            <c:numFmt formatCode=" " sourceLinked="1"/>
            <c:spPr>
              <a:noFill/>
              <a:ln w="9525">
                <a:noFill/>
              </a:ln>
            </c:spPr>
            <c:txPr>
              <a:bodyPr anchor="ctr" anchorCtr="1"/>
              <a:lstStyle/>
              <a:p>
                <a:pPr>
                  <a:defRPr lang="ru-ru" sz="625" b="0" i="0" u="none" strike="noStrike" kern="100">
                    <a:solidFill>
                      <a:srgbClr val="3F3F3F"/>
                    </a:solidFill>
                    <a:latin typeface="Calibri" charset="0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Lit>
              <c:ptCount val="5"/>
              <c:pt idx="0">
                <c:v>1.Восприятие</c:v>
              </c:pt>
              <c:pt idx="1">
                <c:v>2. Звуковысотный слух</c:v>
              </c:pt>
              <c:pt idx="2">
                <c:v>2.Пение</c:v>
              </c:pt>
              <c:pt idx="3">
                <c:v>3.Чувство ритма</c:v>
              </c:pt>
              <c:pt idx="4">
                <c:v>5. Музыкальное творчество</c:v>
              </c:pt>
            </c:strLit>
          </c:cat>
          <c:val>
            <c:numLit>
              <c:formatCode> </c:formatCode>
              <c:ptCount val="5"/>
              <c:pt idx="0">
                <c:v>2.11</c:v>
              </c:pt>
              <c:pt idx="1">
                <c:v>2.28</c:v>
              </c:pt>
              <c:pt idx="2">
                <c:v>2.79</c:v>
              </c:pt>
              <c:pt idx="3">
                <c:v>2.56</c:v>
              </c:pt>
              <c:pt idx="4">
                <c:v>2.57</c:v>
              </c:pt>
            </c:numLit>
          </c:val>
          <c:extLst>
            <c:ext xmlns:sm="smo" uri="smo">
              <sm:meanLine>
                <c:spPr>
                  <a:ln w="9525">
                    <a:noFill/>
                  </a:ln>
                </c:spPr>
              </sm:meanLine>
              <sm:minMaxLine>
                <c:spPr>
                  <a:ln w="9525">
                    <a:noFill/>
                  </a:ln>
                </c:spPr>
              </sm:minMaxLine>
              <sm:stDevLine>
                <c:spPr>
                  <a:ln w="9525">
                    <a:noFill/>
                  </a:ln>
                </c:spPr>
              </sm:stDevLine>
              <sm:trendLine>
                <c:spPr>
                  <a:ln w="9525">
                    <a:noFill/>
                  </a:ln>
                </c:spPr>
              </sm:trendLine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gapWidth val="219"/>
        <c:overlap val="-27"/>
        <c:axId val="10"/>
        <c:axId val="11"/>
      </c:barChart>
      <c:catAx>
        <c:axId val="1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9525">
            <a:solidFill>
              <a:srgbClr val="D8D8D8"/>
            </a:solidFill>
          </a:ln>
        </c:spPr>
        <c:txPr>
          <a:bodyPr anchor="ctr" anchorCtr="1" rot="-60000000"/>
          <a:lstStyle/>
          <a:p>
            <a:pPr>
              <a:defRPr lang="ru-ru" sz="625" b="0" i="0" u="none" strike="noStrike" kern="100">
                <a:solidFill>
                  <a:srgbClr val="595959"/>
                </a:solidFill>
                <a:latin typeface="Calibri" charset="0"/>
              </a:defRPr>
            </a:pPr>
          </a:p>
        </c:txPr>
        <c:crossAx val="11"/>
        <c:crosses val="autoZero"/>
        <c:auto val="1"/>
      </c:catAx>
      <c:valAx>
        <c:axId val="11"/>
        <c:scaling>
          <c:orientation val="minMax"/>
        </c:scaling>
        <c:delete val="0"/>
        <c:axPos val="l"/>
        <c:majorGridlines>
          <c:spPr>
            <a:ln w="9525">
              <a:solidFill>
                <a:srgbClr val="D8D8D8"/>
              </a:solidFill>
            </a:ln>
          </c:spPr>
        </c:majorGridlines>
        <c:numFmt formatCode="General" sourceLinked="1"/>
        <c:majorTickMark val="none"/>
        <c:minorTickMark val="none"/>
        <c:tickLblPos val="nextTo"/>
        <c:spPr>
          <a:ln w="9525">
            <a:noFill/>
          </a:ln>
        </c:spPr>
        <c:txPr>
          <a:bodyPr anchor="ctr" anchorCtr="1" rot="-60000000"/>
          <a:lstStyle/>
          <a:p>
            <a:pPr>
              <a:defRPr lang="ru-ru" sz="625" b="0" i="0" u="none" strike="noStrike" kern="100">
                <a:solidFill>
                  <a:srgbClr val="595959"/>
                </a:solidFill>
                <a:latin typeface="Calibri" charset="0"/>
              </a:defRPr>
            </a:pPr>
          </a:p>
        </c:txPr>
        <c:crossAx val="10"/>
        <c:crosses val="autoZero"/>
        <c:crossBetween val="between"/>
      </c:valAx>
      <c:spPr>
        <a:noFill/>
        <a:ln w="9525">
          <a:noFill/>
        </a:ln>
      </c:spPr>
    </c:plotArea>
    <c:legend>
      <c:legendPos val="b"/>
      <c:layout/>
      <c:overlay val="0"/>
      <c:spPr>
        <a:noFill/>
        <a:ln w="9525">
          <a:noFill/>
        </a:ln>
      </c:spPr>
      <c:txPr>
        <a:bodyPr numCol="2"/>
        <a:lstStyle/>
        <a:p>
          <a:pPr>
            <a:defRPr lang="ru-ru" sz="625" b="0" i="0" u="none" strike="noStrike" kern="100">
              <a:solidFill>
                <a:srgbClr val="595959"/>
              </a:solidFill>
              <a:latin typeface="Calibri" charset="0"/>
            </a:defRPr>
          </a:pPr>
        </a:p>
      </c:txPr>
    </c:legend>
    <c:plotVisOnly val="1"/>
    <c:dispBlanksAs val="gap"/>
  </c:chart>
  <c:spPr>
    <a:noFill/>
    <a:ln w="9525">
      <a:noFill/>
    </a:ln>
  </c:spPr>
  <c:txPr>
    <a:bodyPr anchor="t" rot="0"/>
    <a:lstStyle/>
    <a:p>
      <a:pPr>
        <a:defRPr lang="ru-ru" sz="695" b="0" i="0" u="none" strike="noStrike" kern="100">
          <a:solidFill>
            <a:srgbClr val="000000"/>
          </a:solidFill>
          <a:latin typeface="Calibri" charset="204"/>
        </a:defRPr>
      </a:pPr>
    </a:p>
  </c:txPr>
  <c:extLst>
    <c:ext xmlns:sm="smo" uri="smo">
      <sm:colorScheme xmlns:sm="smo" id="1748404006" val="15"/>
    </c:ext>
  </c:extLst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roundedCorners val="0"/>
  <c:chart>
    <c:title>
      <c:tx>
        <c:rich>
          <a:bodyPr anchor="ctr" anchorCtr="1"/>
          <a:lstStyle/>
          <a:p>
            <a:pPr>
              <a:defRPr lang="ru-ru" sz="1860" b="0" i="0" u="none" strike="noStrike" kern="100">
                <a:solidFill>
                  <a:srgbClr val="FF0000"/>
                </a:solidFill>
                <a:latin typeface="Calibri" charset="0"/>
              </a:defRPr>
            </a:pPr>
            <a:r>
              <a:t>Подготовительная группа на 2024-2025г.</a:t>
            </a:r>
          </a:p>
        </c:rich>
      </c:tx>
      <c:layout/>
      <c:overlay val="0"/>
      <c:spPr>
        <a:noFill/>
        <a:ln w="9525">
          <a:noFill/>
        </a:ln>
      </c:spPr>
    </c:title>
    <c:plotArea>
      <c:layout/>
      <c:barChart>
        <c:barDir val="col"/>
        <c:grouping val="clustered"/>
        <c:ser>
          <c:idx val="0"/>
          <c:order val="0"/>
          <c:tx>
            <c:v>начало года</c:v>
          </c:tx>
          <c:spPr>
            <a:solidFill>
              <a:srgbClr val="4472C4"/>
            </a:solidFill>
            <a:ln w="9525">
              <a:noFill/>
            </a:ln>
          </c:spPr>
          <c:dLbls>
            <c:numFmt formatCode=" " sourceLinked="1"/>
            <c:spPr>
              <a:noFill/>
              <a:ln w="9525">
                <a:noFill/>
              </a:ln>
            </c:spPr>
            <c:txPr>
              <a:bodyPr anchor="ctr" anchorCtr="1"/>
              <a:lstStyle/>
              <a:p>
                <a:pPr>
                  <a:defRPr lang="ru-ru" sz="695" b="0" i="0" u="none" strike="noStrike" kern="100">
                    <a:solidFill>
                      <a:srgbClr val="3F3F3F"/>
                    </a:solidFill>
                    <a:latin typeface="Calibri" charset="0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Lit>
              <c:ptCount val="5"/>
              <c:pt idx="0">
                <c:v>1.Восприятие</c:v>
              </c:pt>
              <c:pt idx="1">
                <c:v>2. Звуковысотный слух</c:v>
              </c:pt>
              <c:pt idx="2">
                <c:v>2.Пение</c:v>
              </c:pt>
              <c:pt idx="3">
                <c:v>3.Чувство ритма</c:v>
              </c:pt>
              <c:pt idx="4">
                <c:v>5. Музыкальное творчество</c:v>
              </c:pt>
            </c:strLit>
          </c:cat>
          <c:val>
            <c:numLit>
              <c:formatCode> </c:formatCode>
              <c:ptCount val="5"/>
              <c:pt idx="0">
                <c:v>2.11</c:v>
              </c:pt>
              <c:pt idx="1">
                <c:v>2.3</c:v>
              </c:pt>
              <c:pt idx="2">
                <c:v>2.81</c:v>
              </c:pt>
              <c:pt idx="3">
                <c:v>2.62</c:v>
              </c:pt>
              <c:pt idx="4">
                <c:v>2.6</c:v>
              </c:pt>
            </c:numLit>
          </c:val>
          <c:extLst>
            <c:ext xmlns:sm="smo" uri="smo">
              <sm:meanLine>
                <c:spPr>
                  <a:ln w="9525">
                    <a:noFill/>
                  </a:ln>
                </c:spPr>
              </sm:meanLine>
              <sm:minMaxLine>
                <c:spPr>
                  <a:ln w="9525">
                    <a:noFill/>
                  </a:ln>
                </c:spPr>
              </sm:minMaxLine>
              <sm:stDevLine>
                <c:spPr>
                  <a:ln w="9525">
                    <a:noFill/>
                  </a:ln>
                </c:spPr>
              </sm:stDevLine>
              <sm:trendLine>
                <c:spPr>
                  <a:ln w="9525">
                    <a:noFill/>
                  </a:ln>
                </c:spPr>
              </sm:trendLine>
            </c:ext>
          </c:extLst>
        </c:ser>
        <c:ser>
          <c:idx val="1"/>
          <c:order val="1"/>
          <c:tx>
            <c:v>конец года</c:v>
          </c:tx>
          <c:spPr>
            <a:solidFill>
              <a:srgbClr val="ED7D31"/>
            </a:solidFill>
            <a:ln w="9525">
              <a:noFill/>
            </a:ln>
          </c:spPr>
          <c:dLbls>
            <c:numFmt formatCode=" " sourceLinked="1"/>
            <c:spPr>
              <a:noFill/>
              <a:ln w="9525">
                <a:noFill/>
              </a:ln>
            </c:spPr>
            <c:txPr>
              <a:bodyPr anchor="ctr" anchorCtr="1"/>
              <a:lstStyle/>
              <a:p>
                <a:pPr>
                  <a:defRPr lang="ru-ru" sz="695" b="0" i="0" u="none" strike="noStrike" kern="100">
                    <a:solidFill>
                      <a:srgbClr val="3F3F3F"/>
                    </a:solidFill>
                    <a:latin typeface="Calibri" charset="0"/>
                  </a:defRPr>
                </a:pPr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Lit>
              <c:ptCount val="5"/>
              <c:pt idx="0">
                <c:v>1.Восприятие</c:v>
              </c:pt>
              <c:pt idx="1">
                <c:v>2. Звуковысотный слух</c:v>
              </c:pt>
              <c:pt idx="2">
                <c:v>2.Пение</c:v>
              </c:pt>
              <c:pt idx="3">
                <c:v>3.Чувство ритма</c:v>
              </c:pt>
              <c:pt idx="4">
                <c:v>5. Музыкальное творчество</c:v>
              </c:pt>
            </c:strLit>
          </c:cat>
          <c:val>
            <c:numLit>
              <c:formatCode> </c:formatCode>
              <c:ptCount val="5"/>
              <c:pt idx="0">
                <c:v>2.61</c:v>
              </c:pt>
              <c:pt idx="1">
                <c:v>2.56</c:v>
              </c:pt>
              <c:pt idx="2">
                <c:v>2.94</c:v>
              </c:pt>
              <c:pt idx="3">
                <c:v>2.89</c:v>
              </c:pt>
              <c:pt idx="4">
                <c:v>2.88</c:v>
              </c:pt>
            </c:numLit>
          </c:val>
          <c:extLst>
            <c:ext xmlns:sm="smo" uri="smo">
              <sm:meanLine>
                <c:spPr>
                  <a:ln w="9525">
                    <a:noFill/>
                  </a:ln>
                </c:spPr>
              </sm:meanLine>
              <sm:minMaxLine>
                <c:spPr>
                  <a:ln w="9525">
                    <a:noFill/>
                  </a:ln>
                </c:spPr>
              </sm:minMaxLine>
              <sm:stDevLine>
                <c:spPr>
                  <a:ln w="9525">
                    <a:noFill/>
                  </a:ln>
                </c:spPr>
              </sm:stDevLine>
              <sm:trendLine>
                <c:spPr>
                  <a:ln w="9525">
                    <a:noFill/>
                  </a:ln>
                </c:spPr>
              </sm:trendLine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gapWidth val="219"/>
        <c:overlap val="-27"/>
        <c:axId val="10"/>
        <c:axId val="11"/>
      </c:barChart>
      <c:catAx>
        <c:axId val="1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9525">
            <a:solidFill>
              <a:srgbClr val="D8D8D8"/>
            </a:solidFill>
          </a:ln>
        </c:spPr>
        <c:txPr>
          <a:bodyPr anchor="ctr" anchorCtr="1" rot="-60000000"/>
          <a:lstStyle/>
          <a:p>
            <a:pPr>
              <a:defRPr lang="ru-ru" sz="695" b="0" i="0" u="none" strike="noStrike" kern="100">
                <a:solidFill>
                  <a:srgbClr val="595959"/>
                </a:solidFill>
                <a:latin typeface="Calibri" charset="0"/>
              </a:defRPr>
            </a:pPr>
          </a:p>
        </c:txPr>
        <c:crossAx val="11"/>
        <c:crosses val="autoZero"/>
        <c:auto val="1"/>
      </c:catAx>
      <c:valAx>
        <c:axId val="11"/>
        <c:scaling>
          <c:orientation val="minMax"/>
        </c:scaling>
        <c:delete val="0"/>
        <c:axPos val="l"/>
        <c:majorGridlines>
          <c:spPr>
            <a:ln w="9525">
              <a:solidFill>
                <a:srgbClr val="D8D8D8"/>
              </a:solidFill>
            </a:ln>
          </c:spPr>
        </c:majorGridlines>
        <c:numFmt formatCode=" Ⱥ" sourceLinked="1"/>
        <c:majorTickMark val="none"/>
        <c:minorTickMark val="none"/>
        <c:tickLblPos val="nextTo"/>
        <c:spPr>
          <a:ln w="9525">
            <a:noFill/>
          </a:ln>
        </c:spPr>
        <c:txPr>
          <a:bodyPr anchor="ctr" anchorCtr="1" rot="-60000000"/>
          <a:lstStyle/>
          <a:p>
            <a:pPr>
              <a:defRPr lang="ru-ru" sz="695" b="0" i="0" u="none" strike="noStrike" kern="100">
                <a:solidFill>
                  <a:srgbClr val="595959"/>
                </a:solidFill>
                <a:latin typeface="Calibri" charset="0"/>
              </a:defRPr>
            </a:pPr>
          </a:p>
        </c:txPr>
        <c:crossAx val="10"/>
        <c:crosses val="autoZero"/>
        <c:crossBetween val="between"/>
      </c:valAx>
      <c:spPr>
        <a:noFill/>
        <a:ln w="9525">
          <a:noFill/>
        </a:ln>
      </c:spPr>
    </c:plotArea>
    <c:legend>
      <c:legendPos val="b"/>
      <c:layout/>
      <c:overlay val="0"/>
      <c:spPr>
        <a:noFill/>
        <a:ln w="9525">
          <a:noFill/>
        </a:ln>
      </c:spPr>
      <c:txPr>
        <a:bodyPr numCol="2"/>
        <a:lstStyle/>
        <a:p>
          <a:pPr>
            <a:defRPr lang="ru-ru" sz="695" b="0" i="0" u="none" strike="noStrike" kern="100">
              <a:solidFill>
                <a:srgbClr val="595959"/>
              </a:solidFill>
              <a:latin typeface="Calibri" charset="0"/>
            </a:defRPr>
          </a:pPr>
        </a:p>
      </c:txPr>
    </c:legend>
    <c:plotVisOnly val="1"/>
    <c:dispBlanksAs val="gap"/>
  </c:chart>
  <c:spPr>
    <a:noFill/>
    <a:ln w="9525">
      <a:noFill/>
    </a:ln>
  </c:spPr>
  <c:txPr>
    <a:bodyPr anchor="t" rot="0"/>
    <a:lstStyle/>
    <a:p>
      <a:pPr>
        <a:defRPr lang="ru-ru" sz="775" b="0" i="0" u="none" strike="noStrike" kern="100">
          <a:solidFill>
            <a:srgbClr val="000000"/>
          </a:solidFill>
          <a:latin typeface="Calibri" charset="204"/>
        </a:defRPr>
      </a:pPr>
    </a:p>
  </c:txPr>
  <c:extLst>
    <c:ext xmlns:sm="smo" uri="smo">
      <sm:colorScheme xmlns:sm="smo" id="1748404006" val="15"/>
    </c:ext>
  </c:extLst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2025-05-28T02:24:18Z</dcterms:created>
  <dcterms:modified xsi:type="dcterms:W3CDTF">2025-05-28T03:46:46Z</dcterms:modified>
</cp:coreProperties>
</file>