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B7" w:rsidRDefault="006E21B7" w:rsidP="006E21B7">
      <w:pPr>
        <w:spacing w:line="360" w:lineRule="auto"/>
        <w:rPr>
          <w:sz w:val="28"/>
          <w:szCs w:val="28"/>
        </w:rPr>
      </w:pPr>
      <w:r w:rsidRPr="00734A4A">
        <w:rPr>
          <w:b/>
          <w:i/>
          <w:sz w:val="28"/>
          <w:szCs w:val="28"/>
        </w:rPr>
        <w:t>Создать проблемную ситуацию на занятии</w:t>
      </w:r>
      <w:r>
        <w:rPr>
          <w:sz w:val="28"/>
          <w:szCs w:val="28"/>
        </w:rPr>
        <w:t xml:space="preserve"> - значит ввести противоречие, столкновение, с которым вызывает у дошкольников эмоциональную реакцию.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734A4A">
        <w:rPr>
          <w:b/>
          <w:i/>
          <w:sz w:val="28"/>
          <w:szCs w:val="28"/>
        </w:rPr>
        <w:t>Классифицировать проблемные ситуации</w:t>
      </w:r>
      <w:r>
        <w:rPr>
          <w:sz w:val="28"/>
          <w:szCs w:val="28"/>
        </w:rPr>
        <w:t xml:space="preserve"> следует сразу по двум</w:t>
      </w:r>
      <w:r>
        <w:rPr>
          <w:sz w:val="28"/>
          <w:szCs w:val="28"/>
        </w:rPr>
        <w:tab/>
        <w:t xml:space="preserve"> основаниям: эмоциональному переживанию и виду противоречия. 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основанию переживания проблемные ситуации делятся на два типа: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удивлением и с за</w:t>
      </w:r>
      <w:bookmarkStart w:id="0" w:name="_GoBack"/>
      <w:bookmarkEnd w:id="0"/>
      <w:r>
        <w:rPr>
          <w:sz w:val="28"/>
          <w:szCs w:val="28"/>
        </w:rPr>
        <w:t>труднением.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основе проблемных ситуаций с удивлением лежат два вида противоречий</w:t>
      </w:r>
    </w:p>
    <w:p w:rsidR="006E21B7" w:rsidRDefault="006E21B7" w:rsidP="006E21B7">
      <w:pPr>
        <w:jc w:val="center"/>
        <w:rPr>
          <w:b/>
          <w:bCs/>
          <w:sz w:val="28"/>
          <w:szCs w:val="28"/>
        </w:rPr>
      </w:pPr>
      <w:r w:rsidRPr="00826BFB">
        <w:rPr>
          <w:b/>
          <w:bCs/>
          <w:sz w:val="28"/>
          <w:szCs w:val="28"/>
        </w:rPr>
        <w:t>Классификация проблемных ситуаций</w:t>
      </w:r>
    </w:p>
    <w:p w:rsidR="006E21B7" w:rsidRPr="00826BFB" w:rsidRDefault="006E21B7" w:rsidP="006E21B7">
      <w:pPr>
        <w:jc w:val="center"/>
        <w:rPr>
          <w:sz w:val="28"/>
          <w:szCs w:val="28"/>
        </w:rPr>
      </w:pPr>
    </w:p>
    <w:tbl>
      <w:tblPr>
        <w:tblW w:w="10260" w:type="dxa"/>
        <w:tblCellSpacing w:w="0" w:type="dxa"/>
        <w:tblInd w:w="-3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693"/>
        <w:gridCol w:w="4652"/>
      </w:tblGrid>
      <w:tr w:rsidR="006E21B7" w:rsidRPr="00826BFB" w:rsidTr="003D60F2">
        <w:trPr>
          <w:trHeight w:val="649"/>
          <w:tblCellSpacing w:w="0" w:type="dxa"/>
        </w:trPr>
        <w:tc>
          <w:tcPr>
            <w:tcW w:w="191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jc w:val="center"/>
              <w:rPr>
                <w:sz w:val="22"/>
                <w:szCs w:val="22"/>
              </w:rPr>
            </w:pPr>
            <w:r w:rsidRPr="009F5638">
              <w:rPr>
                <w:b/>
                <w:bCs/>
                <w:sz w:val="22"/>
                <w:szCs w:val="22"/>
              </w:rPr>
              <w:t>Тип проблемной ситуации</w:t>
            </w:r>
          </w:p>
        </w:tc>
        <w:tc>
          <w:tcPr>
            <w:tcW w:w="3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jc w:val="center"/>
              <w:rPr>
                <w:sz w:val="22"/>
                <w:szCs w:val="22"/>
              </w:rPr>
            </w:pPr>
            <w:r w:rsidRPr="009F5638">
              <w:rPr>
                <w:b/>
                <w:bCs/>
                <w:sz w:val="22"/>
                <w:szCs w:val="22"/>
              </w:rPr>
              <w:t>Вид противоречия</w:t>
            </w:r>
          </w:p>
        </w:tc>
        <w:tc>
          <w:tcPr>
            <w:tcW w:w="46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E21B7" w:rsidRPr="009F5638" w:rsidRDefault="006E21B7" w:rsidP="003D60F2">
            <w:pPr>
              <w:jc w:val="center"/>
              <w:rPr>
                <w:sz w:val="22"/>
                <w:szCs w:val="22"/>
              </w:rPr>
            </w:pPr>
            <w:r w:rsidRPr="009F5638">
              <w:rPr>
                <w:b/>
                <w:bCs/>
                <w:sz w:val="22"/>
                <w:szCs w:val="22"/>
              </w:rPr>
              <w:t>Приёмы создания проблемной ситуации</w:t>
            </w:r>
          </w:p>
        </w:tc>
      </w:tr>
      <w:tr w:rsidR="006E21B7" w:rsidRPr="00826BFB" w:rsidTr="003D60F2">
        <w:trPr>
          <w:trHeight w:val="787"/>
          <w:tblCellSpacing w:w="0" w:type="dxa"/>
        </w:trPr>
        <w:tc>
          <w:tcPr>
            <w:tcW w:w="1915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С удивлением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Между двумя положениями (противоречивые факты, мнения, невозможное в жизни сочетание)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1) На предъявление положений</w:t>
            </w:r>
          </w:p>
          <w:p w:rsidR="006E21B7" w:rsidRPr="009F5638" w:rsidRDefault="006E21B7" w:rsidP="003D60F2">
            <w:pPr>
              <w:rPr>
                <w:sz w:val="22"/>
                <w:szCs w:val="22"/>
              </w:rPr>
            </w:pPr>
          </w:p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2) На столкновение мнений</w:t>
            </w:r>
          </w:p>
        </w:tc>
      </w:tr>
      <w:tr w:rsidR="006E21B7" w:rsidRPr="00826BFB" w:rsidTr="003D60F2">
        <w:trPr>
          <w:trHeight w:val="561"/>
          <w:tblCellSpacing w:w="0" w:type="dxa"/>
        </w:trPr>
        <w:tc>
          <w:tcPr>
            <w:tcW w:w="1915" w:type="dxa"/>
            <w:vMerge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 xml:space="preserve">Между житейским представлением и научным фактом 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3) На ошибку детей</w:t>
            </w:r>
          </w:p>
        </w:tc>
      </w:tr>
      <w:tr w:rsidR="006E21B7" w:rsidRPr="00826BFB" w:rsidTr="003D60F2">
        <w:trPr>
          <w:trHeight w:val="808"/>
          <w:tblCellSpacing w:w="0" w:type="dxa"/>
        </w:trPr>
        <w:tc>
          <w:tcPr>
            <w:tcW w:w="191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С затруднением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Между необходимостью и невозможностью выполнить задание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4) На невыполнимое вообще задание;</w:t>
            </w:r>
          </w:p>
          <w:p w:rsidR="006E21B7" w:rsidRPr="009F5638" w:rsidRDefault="006E21B7" w:rsidP="003D60F2">
            <w:pPr>
              <w:rPr>
                <w:sz w:val="22"/>
                <w:szCs w:val="22"/>
              </w:rPr>
            </w:pPr>
            <w:r w:rsidRPr="009F5638">
              <w:rPr>
                <w:sz w:val="22"/>
                <w:szCs w:val="22"/>
              </w:rPr>
              <w:t>5) На несходное задание</w:t>
            </w:r>
          </w:p>
        </w:tc>
      </w:tr>
    </w:tbl>
    <w:p w:rsidR="006E21B7" w:rsidRDefault="006E21B7" w:rsidP="006E21B7">
      <w:pPr>
        <w:spacing w:line="360" w:lineRule="auto"/>
        <w:rPr>
          <w:sz w:val="28"/>
          <w:szCs w:val="28"/>
        </w:rPr>
      </w:pPr>
    </w:p>
    <w:p w:rsidR="006E21B7" w:rsidRDefault="006E21B7" w:rsidP="006E21B7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Pr="00734A4A">
        <w:rPr>
          <w:b/>
          <w:i/>
          <w:sz w:val="28"/>
          <w:szCs w:val="28"/>
        </w:rPr>
        <w:t>Выход из проблемной ситуации на занятии</w:t>
      </w:r>
      <w:r>
        <w:rPr>
          <w:b/>
          <w:i/>
          <w:sz w:val="28"/>
          <w:szCs w:val="28"/>
        </w:rPr>
        <w:t>.</w:t>
      </w:r>
    </w:p>
    <w:p w:rsidR="006E21B7" w:rsidRDefault="006E21B7" w:rsidP="006E21B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>На занятиях дошкольники не в состоянии самостоятельно (как ученый) выполнить сложные творческие действия по выходу из проблемной ситуации. Значит, педагог должен организовать совместные творческие действия. Для этого требуется подавать специальные реплики, стимулирующие детей к                       осознанию противоречия и формулированию проблемы. Иными словами, для выхода из проблемной ситуации воспитатель должен развернуть побуждающий диалог.</w:t>
      </w:r>
      <w:r w:rsidRPr="00B30D12">
        <w:rPr>
          <w:b/>
          <w:i/>
          <w:sz w:val="28"/>
          <w:szCs w:val="28"/>
        </w:rPr>
        <w:t xml:space="preserve"> </w:t>
      </w:r>
    </w:p>
    <w:p w:rsidR="006E21B7" w:rsidRDefault="006E21B7" w:rsidP="006E21B7">
      <w:pPr>
        <w:spacing w:line="360" w:lineRule="auto"/>
        <w:jc w:val="center"/>
        <w:rPr>
          <w:b/>
          <w:i/>
          <w:sz w:val="28"/>
          <w:szCs w:val="28"/>
        </w:rPr>
      </w:pPr>
      <w:r w:rsidRPr="009416B0">
        <w:rPr>
          <w:b/>
          <w:i/>
          <w:sz w:val="28"/>
          <w:szCs w:val="28"/>
        </w:rPr>
        <w:t>Технология создания проблемных ситуаций</w:t>
      </w:r>
    </w:p>
    <w:p w:rsidR="006E21B7" w:rsidRPr="005067A3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067A3">
        <w:rPr>
          <w:sz w:val="28"/>
          <w:szCs w:val="28"/>
        </w:rPr>
        <w:t>Рассмотрим детально пять приёмов создания проблемной ситуации и побуждающий диалог</w:t>
      </w:r>
      <w:r>
        <w:rPr>
          <w:sz w:val="28"/>
          <w:szCs w:val="28"/>
        </w:rPr>
        <w:t xml:space="preserve">. Каждому приёму соответствует собственное побуждение к осознанию противоречия (поскольку приёмы содержат разные противоречия). Побуждение к формулированию </w:t>
      </w:r>
      <w:r>
        <w:rPr>
          <w:sz w:val="28"/>
          <w:szCs w:val="28"/>
        </w:rPr>
        <w:t>проблемы,</w:t>
      </w:r>
      <w:r>
        <w:rPr>
          <w:sz w:val="28"/>
          <w:szCs w:val="28"/>
        </w:rPr>
        <w:t xml:space="preserve"> наоборот, от </w:t>
      </w:r>
      <w:r>
        <w:rPr>
          <w:sz w:val="28"/>
          <w:szCs w:val="28"/>
        </w:rPr>
        <w:lastRenderedPageBreak/>
        <w:t xml:space="preserve">использованного приема не зависит и реализуется одной из двух возможных реплик по </w:t>
      </w:r>
      <w:proofErr w:type="gramStart"/>
      <w:r>
        <w:rPr>
          <w:sz w:val="28"/>
          <w:szCs w:val="28"/>
        </w:rPr>
        <w:t>выбору :</w:t>
      </w:r>
      <w:proofErr w:type="gramEnd"/>
      <w:r>
        <w:rPr>
          <w:sz w:val="28"/>
          <w:szCs w:val="28"/>
        </w:rPr>
        <w:t xml:space="preserve"> «Какая будет тема занятия?» или «Какой возникает вопрос?» Последний случай не должен смущать воспитателя, потому что ответом на </w:t>
      </w:r>
      <w:r>
        <w:rPr>
          <w:sz w:val="28"/>
          <w:szCs w:val="28"/>
        </w:rPr>
        <w:t>вопрос будет</w:t>
      </w:r>
      <w:r>
        <w:rPr>
          <w:sz w:val="28"/>
          <w:szCs w:val="28"/>
        </w:rPr>
        <w:t xml:space="preserve"> именно то новое знание, которое сегодня требуется изучить. Иллюстрацией такой нестандартной конструкции занятия являются фрагменты по темам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Проблема занятия представляет собой либо вопрос для исследования (как в науке), либо тему. Поставленная проблема является для дошкольников значимой и мотивирует их к усвоению нового знания. 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При проведении побуждающего диалога с дошкольниками необходимо учитывать следующее.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Во-первых, реплики диалога можно упрощать в соответствии с возрастом детей. Например, </w:t>
      </w:r>
      <w:r>
        <w:rPr>
          <w:sz w:val="28"/>
          <w:szCs w:val="28"/>
        </w:rPr>
        <w:t>фразу «</w:t>
      </w:r>
      <w:r>
        <w:rPr>
          <w:sz w:val="28"/>
          <w:szCs w:val="28"/>
        </w:rPr>
        <w:t xml:space="preserve">Какая будет тема занятия?» Можно заменить синонимичными словами: </w:t>
      </w:r>
      <w:r>
        <w:rPr>
          <w:sz w:val="28"/>
          <w:szCs w:val="28"/>
        </w:rPr>
        <w:t>«О</w:t>
      </w:r>
      <w:r>
        <w:rPr>
          <w:sz w:val="28"/>
          <w:szCs w:val="28"/>
        </w:rPr>
        <w:t xml:space="preserve"> чем будем говорить сегодня?», «Чему мы будем сейчас учиться?». 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Во-вторых, дети могут молчать и не реагировать на побуждающие реплики. В этом случае воспитателю следует проговорить правильные ответы самому, тем самым, показывая образец творческих действий по осознанию противоречия и формулированию проблемы. 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В-третьих, дети могут давать ошибочные или неточные ответы. Педагогу нужно реагировать на них доброжелательно, например, репликами: «Так, кто думает иначе?», «Так, кто еще может сказать?». Первая часть фразы показывает ребёнку, что его мысль принята к сведению, а вторая побуждает к повторному формулированию.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Ресурсы: научно-методический журнал «Методист» №4 2016г.</w:t>
      </w:r>
    </w:p>
    <w:p w:rsidR="006E21B7" w:rsidRDefault="006E21B7" w:rsidP="006E21B7">
      <w:pPr>
        <w:spacing w:line="360" w:lineRule="auto"/>
        <w:rPr>
          <w:sz w:val="28"/>
          <w:szCs w:val="28"/>
        </w:rPr>
      </w:pPr>
    </w:p>
    <w:p w:rsidR="006E21B7" w:rsidRDefault="006E21B7" w:rsidP="006E21B7">
      <w:pPr>
        <w:spacing w:line="360" w:lineRule="auto"/>
        <w:rPr>
          <w:sz w:val="28"/>
          <w:szCs w:val="28"/>
        </w:rPr>
      </w:pPr>
    </w:p>
    <w:p w:rsidR="006E21B7" w:rsidRDefault="006E21B7" w:rsidP="006E21B7">
      <w:pPr>
        <w:spacing w:line="360" w:lineRule="auto"/>
        <w:rPr>
          <w:sz w:val="28"/>
          <w:szCs w:val="28"/>
        </w:rPr>
      </w:pPr>
    </w:p>
    <w:p w:rsidR="006E21B7" w:rsidRDefault="006E21B7" w:rsidP="006E21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E21B7" w:rsidRDefault="006E21B7" w:rsidP="006E21B7">
      <w:pPr>
        <w:spacing w:line="360" w:lineRule="auto"/>
        <w:rPr>
          <w:sz w:val="28"/>
          <w:szCs w:val="28"/>
        </w:rPr>
      </w:pPr>
    </w:p>
    <w:p w:rsidR="006E21B7" w:rsidRDefault="006E21B7" w:rsidP="006E21B7">
      <w:pPr>
        <w:rPr>
          <w:b/>
          <w:i/>
          <w:sz w:val="28"/>
          <w:szCs w:val="28"/>
        </w:rPr>
      </w:pPr>
    </w:p>
    <w:p w:rsidR="006E21B7" w:rsidRDefault="006E21B7" w:rsidP="006E21B7">
      <w:pPr>
        <w:rPr>
          <w:b/>
          <w:i/>
          <w:sz w:val="28"/>
          <w:szCs w:val="28"/>
        </w:rPr>
      </w:pPr>
    </w:p>
    <w:p w:rsidR="006E21B7" w:rsidRDefault="006E21B7" w:rsidP="006E21B7">
      <w:pPr>
        <w:rPr>
          <w:b/>
          <w:i/>
          <w:sz w:val="28"/>
          <w:szCs w:val="28"/>
        </w:rPr>
      </w:pPr>
    </w:p>
    <w:p w:rsidR="006E21B7" w:rsidRDefault="006E21B7" w:rsidP="006E21B7">
      <w:pPr>
        <w:rPr>
          <w:b/>
          <w:i/>
          <w:sz w:val="28"/>
          <w:szCs w:val="28"/>
        </w:rPr>
      </w:pPr>
    </w:p>
    <w:p w:rsidR="003652C5" w:rsidRDefault="003652C5"/>
    <w:sectPr w:rsidR="0036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5A"/>
    <w:rsid w:val="003652C5"/>
    <w:rsid w:val="006E21B7"/>
    <w:rsid w:val="00C3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95DD-B0AC-41F4-8E98-52A7D606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2019-06-21T03:39:00Z</dcterms:created>
  <dcterms:modified xsi:type="dcterms:W3CDTF">2019-06-21T03:39:00Z</dcterms:modified>
</cp:coreProperties>
</file>